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74AA3" w:rsidRDefault="00113C5A" w:rsidP="00113C5A">
      <w:pPr>
        <w:keepNext/>
        <w:keepLines/>
        <w:widowControl w:val="0"/>
        <w:spacing w:after="0" w:line="276" w:lineRule="auto"/>
        <w:jc w:val="both"/>
        <w:outlineLvl w:val="1"/>
        <w:rPr>
          <w:rFonts w:ascii="Tahoma" w:eastAsia="Times New Roman" w:hAnsi="Tahoma" w:cs="Tahoma"/>
          <w:b/>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E44004">
        <w:rPr>
          <w:rFonts w:ascii="Tahoma" w:eastAsia="Times New Roman" w:hAnsi="Tahoma" w:cs="Tahoma"/>
          <w:bCs/>
          <w:sz w:val="18"/>
          <w:szCs w:val="18"/>
        </w:rPr>
        <w:t>Julio</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E44004">
        <w:rPr>
          <w:rFonts w:ascii="Tahoma" w:eastAsia="Times New Roman" w:hAnsi="Tahoma" w:cs="Tahoma"/>
          <w:b/>
          <w:bCs/>
          <w:sz w:val="18"/>
          <w:szCs w:val="18"/>
        </w:rPr>
        <w:t>100</w:t>
      </w:r>
      <w:r w:rsidR="00A11832">
        <w:rPr>
          <w:rFonts w:ascii="Tahoma" w:eastAsia="Times New Roman" w:hAnsi="Tahoma" w:cs="Tahoma"/>
          <w:b/>
          <w:bCs/>
          <w:sz w:val="18"/>
          <w:szCs w:val="18"/>
        </w:rPr>
        <w:t>,</w:t>
      </w:r>
      <w:r w:rsidR="00E44004">
        <w:rPr>
          <w:rFonts w:ascii="Tahoma" w:eastAsia="Times New Roman" w:hAnsi="Tahoma" w:cs="Tahoma"/>
          <w:b/>
          <w:bCs/>
          <w:sz w:val="18"/>
          <w:szCs w:val="18"/>
        </w:rPr>
        <w:t>078</w:t>
      </w:r>
      <w:r w:rsidR="00A11832">
        <w:rPr>
          <w:rFonts w:ascii="Tahoma" w:eastAsia="Times New Roman" w:hAnsi="Tahoma" w:cs="Tahoma"/>
          <w:b/>
          <w:bCs/>
          <w:sz w:val="18"/>
          <w:szCs w:val="18"/>
        </w:rPr>
        <w:t>,</w:t>
      </w:r>
      <w:r w:rsidR="00E44004">
        <w:rPr>
          <w:rFonts w:ascii="Tahoma" w:eastAsia="Times New Roman" w:hAnsi="Tahoma" w:cs="Tahoma"/>
          <w:b/>
          <w:bCs/>
          <w:sz w:val="18"/>
          <w:szCs w:val="18"/>
        </w:rPr>
        <w:t>692</w:t>
      </w:r>
      <w:r w:rsidR="00A11832">
        <w:rPr>
          <w:rFonts w:ascii="Tahoma" w:eastAsia="Times New Roman" w:hAnsi="Tahoma" w:cs="Tahoma"/>
          <w:b/>
          <w:bCs/>
          <w:sz w:val="18"/>
          <w:szCs w:val="18"/>
        </w:rPr>
        <w:t>.</w:t>
      </w:r>
      <w:r w:rsidR="00E44004">
        <w:rPr>
          <w:rFonts w:ascii="Tahoma" w:eastAsia="Times New Roman" w:hAnsi="Tahoma" w:cs="Tahoma"/>
          <w:b/>
          <w:bCs/>
          <w:sz w:val="18"/>
          <w:szCs w:val="18"/>
        </w:rPr>
        <w:t>35</w:t>
      </w:r>
      <w:r w:rsidR="00CD3BEB" w:rsidRPr="00B74AA3">
        <w:rPr>
          <w:rFonts w:ascii="Tahoma" w:eastAsia="Times New Roman" w:hAnsi="Tahoma" w:cs="Tahoma"/>
          <w:b/>
          <w:bCs/>
          <w:sz w:val="18"/>
          <w:szCs w:val="18"/>
        </w:rPr>
        <w:t>, (</w:t>
      </w:r>
      <w:r w:rsidR="00E44004">
        <w:rPr>
          <w:rFonts w:ascii="Tahoma" w:eastAsia="Times New Roman" w:hAnsi="Tahoma" w:cs="Tahoma"/>
          <w:b/>
          <w:bCs/>
          <w:sz w:val="18"/>
          <w:szCs w:val="18"/>
        </w:rPr>
        <w:t>Cien</w:t>
      </w:r>
      <w:r w:rsidR="004C3CAC"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E44004">
        <w:rPr>
          <w:rFonts w:ascii="Tahoma" w:eastAsia="Times New Roman" w:hAnsi="Tahoma" w:cs="Tahoma"/>
          <w:b/>
          <w:bCs/>
          <w:sz w:val="18"/>
          <w:szCs w:val="18"/>
        </w:rPr>
        <w:t>setenta y ocho</w:t>
      </w:r>
      <w:r w:rsidR="00304F58">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E44004">
        <w:rPr>
          <w:rFonts w:ascii="Tahoma" w:eastAsia="Times New Roman" w:hAnsi="Tahoma" w:cs="Tahoma"/>
          <w:b/>
          <w:bCs/>
          <w:sz w:val="18"/>
          <w:szCs w:val="18"/>
        </w:rPr>
        <w:t>seis</w:t>
      </w:r>
      <w:r w:rsidR="00085AB5">
        <w:rPr>
          <w:rFonts w:ascii="Tahoma" w:eastAsia="Times New Roman" w:hAnsi="Tahoma" w:cs="Tahoma"/>
          <w:b/>
          <w:bCs/>
          <w:sz w:val="18"/>
          <w:szCs w:val="18"/>
        </w:rPr>
        <w:t>ciento</w:t>
      </w:r>
      <w:r w:rsidR="00E44004">
        <w:rPr>
          <w:rFonts w:ascii="Tahoma" w:eastAsia="Times New Roman" w:hAnsi="Tahoma" w:cs="Tahoma"/>
          <w:b/>
          <w:bCs/>
          <w:sz w:val="18"/>
          <w:szCs w:val="18"/>
        </w:rPr>
        <w:t>s</w:t>
      </w:r>
      <w:r w:rsidR="00085AB5">
        <w:rPr>
          <w:rFonts w:ascii="Tahoma" w:eastAsia="Times New Roman" w:hAnsi="Tahoma" w:cs="Tahoma"/>
          <w:b/>
          <w:bCs/>
          <w:sz w:val="18"/>
          <w:szCs w:val="18"/>
        </w:rPr>
        <w:t xml:space="preserve"> </w:t>
      </w:r>
      <w:r w:rsidR="00E44004">
        <w:rPr>
          <w:rFonts w:ascii="Tahoma" w:eastAsia="Times New Roman" w:hAnsi="Tahoma" w:cs="Tahoma"/>
          <w:b/>
          <w:bCs/>
          <w:sz w:val="18"/>
          <w:szCs w:val="18"/>
        </w:rPr>
        <w:t>noventa y dos</w:t>
      </w:r>
      <w:r w:rsidR="003C569C">
        <w:rPr>
          <w:rFonts w:ascii="Tahoma" w:eastAsia="Times New Roman" w:hAnsi="Tahoma" w:cs="Tahoma"/>
          <w:b/>
          <w:bCs/>
          <w:sz w:val="18"/>
          <w:szCs w:val="18"/>
        </w:rPr>
        <w:t xml:space="preserve"> </w:t>
      </w:r>
      <w:r w:rsidR="004C33CC" w:rsidRPr="00B74AA3">
        <w:rPr>
          <w:rFonts w:ascii="Tahoma" w:eastAsia="Times New Roman" w:hAnsi="Tahoma" w:cs="Tahoma"/>
          <w:b/>
          <w:bCs/>
          <w:sz w:val="18"/>
          <w:szCs w:val="18"/>
        </w:rPr>
        <w:t xml:space="preserve">pesos </w:t>
      </w:r>
      <w:r w:rsidR="00E44004">
        <w:rPr>
          <w:rFonts w:ascii="Tahoma" w:eastAsia="Times New Roman" w:hAnsi="Tahoma" w:cs="Tahoma"/>
          <w:b/>
          <w:bCs/>
          <w:sz w:val="18"/>
          <w:szCs w:val="18"/>
        </w:rPr>
        <w:t>35</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Default="00E021B5" w:rsidP="00113C5A">
      <w:pPr>
        <w:spacing w:after="0" w:line="276" w:lineRule="auto"/>
        <w:jc w:val="both"/>
        <w:rPr>
          <w:rFonts w:ascii="Tahoma" w:eastAsia="Times New Roman" w:hAnsi="Tahoma" w:cs="Tahoma"/>
          <w:b/>
          <w:sz w:val="18"/>
          <w:szCs w:val="18"/>
          <w:lang w:eastAsia="es-ES"/>
        </w:rPr>
      </w:pPr>
      <w:r>
        <w:rPr>
          <w:rFonts w:ascii="Tahoma" w:eastAsia="Times New Roman" w:hAnsi="Tahoma" w:cs="Tahoma"/>
          <w:b/>
          <w:noProof/>
          <w:sz w:val="18"/>
          <w:szCs w:val="18"/>
        </w:rPr>
        <w:object w:dxaOrig="9233" w:dyaOrig="3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55pt;margin-top:12.5pt;width:362.2pt;height:387.4pt;z-index:251659264;mso-position-horizontal:absolute;mso-position-horizontal-relative:text;mso-position-vertical-relative:text">
            <v:imagedata r:id="rId8" o:title=""/>
            <w10:wrap type="square" side="right"/>
          </v:shape>
          <o:OLEObject Type="Embed" ProgID="Excel.Sheet.12" ShapeID="_x0000_s1028" DrawAspect="Content" ObjectID="_1752917429" r:id="rId9"/>
        </w:object>
      </w:r>
    </w:p>
    <w:p w:rsidR="0029116B" w:rsidRDefault="0029116B" w:rsidP="0029116B">
      <w:pPr>
        <w:spacing w:after="0" w:line="276" w:lineRule="auto"/>
        <w:rPr>
          <w:rFonts w:ascii="Tahoma" w:eastAsia="Times New Roman" w:hAnsi="Tahoma" w:cs="Tahoma"/>
          <w:b/>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Default="0029116B" w:rsidP="0029116B">
      <w:pPr>
        <w:spacing w:after="0" w:line="276" w:lineRule="auto"/>
        <w:rPr>
          <w:rFonts w:ascii="Tahoma" w:eastAsia="Times New Roman" w:hAnsi="Tahoma" w:cs="Tahoma"/>
          <w:b/>
          <w:sz w:val="18"/>
          <w:szCs w:val="18"/>
          <w:lang w:eastAsia="es-ES"/>
        </w:rPr>
      </w:pPr>
    </w:p>
    <w:p w:rsidR="00AC6FB4" w:rsidRPr="00B74AA3" w:rsidRDefault="00EC310E" w:rsidP="00EC310E">
      <w:pPr>
        <w:tabs>
          <w:tab w:val="center" w:pos="969"/>
        </w:tabs>
        <w:spacing w:after="0" w:line="276" w:lineRule="auto"/>
        <w:rPr>
          <w:rFonts w:ascii="Tahoma" w:eastAsia="Times New Roman" w:hAnsi="Tahoma" w:cs="Tahoma"/>
          <w:b/>
          <w:sz w:val="18"/>
          <w:szCs w:val="18"/>
          <w:lang w:eastAsia="es-ES"/>
        </w:rPr>
      </w:pPr>
      <w:r>
        <w:rPr>
          <w:rFonts w:ascii="Tahoma" w:eastAsia="Times New Roman" w:hAnsi="Tahoma" w:cs="Tahoma"/>
          <w:b/>
          <w:sz w:val="18"/>
          <w:szCs w:val="18"/>
          <w:lang w:eastAsia="es-ES"/>
        </w:rPr>
        <w:tab/>
      </w:r>
      <w:r w:rsidR="0029116B">
        <w:rPr>
          <w:rFonts w:ascii="Tahoma" w:eastAsia="Times New Roman" w:hAnsi="Tahoma" w:cs="Tahoma"/>
          <w:b/>
          <w:sz w:val="18"/>
          <w:szCs w:val="18"/>
          <w:lang w:eastAsia="es-ES"/>
        </w:rPr>
        <w:br w:type="textWrapping" w:clear="all"/>
      </w: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En este rubro se reflejan los Deudores y Cuentas por Cobrar del Municipio, con un saldo al </w:t>
      </w:r>
      <w:r w:rsidR="00C3196E" w:rsidRPr="00B74AA3">
        <w:rPr>
          <w:rFonts w:ascii="Tahoma" w:eastAsia="Times New Roman" w:hAnsi="Tahoma" w:cs="Tahoma"/>
          <w:sz w:val="18"/>
          <w:szCs w:val="18"/>
          <w:lang w:val="es-ES" w:eastAsia="es-ES"/>
        </w:rPr>
        <w:t xml:space="preserve">cierre </w:t>
      </w:r>
      <w:r w:rsidR="007544AA" w:rsidRPr="00B74AA3">
        <w:rPr>
          <w:rFonts w:ascii="Tahoma" w:eastAsia="Times New Roman" w:hAnsi="Tahoma" w:cs="Tahoma"/>
          <w:sz w:val="18"/>
          <w:szCs w:val="18"/>
          <w:lang w:val="es-ES" w:eastAsia="es-ES"/>
        </w:rPr>
        <w:t>de la cuenta pública mensual de</w:t>
      </w:r>
      <w:r w:rsidR="002D26C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 xml:space="preserve"> </w:t>
      </w:r>
      <w:r w:rsidR="00E44004">
        <w:rPr>
          <w:rFonts w:ascii="Tahoma" w:eastAsia="Times New Roman" w:hAnsi="Tahoma" w:cs="Tahoma"/>
          <w:sz w:val="18"/>
          <w:szCs w:val="18"/>
          <w:lang w:val="es-ES" w:eastAsia="es-ES"/>
        </w:rPr>
        <w:t>Julio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0F1494">
        <w:rPr>
          <w:rFonts w:ascii="Tahoma" w:eastAsia="Times New Roman" w:hAnsi="Tahoma" w:cs="Tahoma"/>
          <w:b/>
          <w:sz w:val="18"/>
          <w:szCs w:val="18"/>
          <w:lang w:val="es-ES" w:eastAsia="es-ES"/>
        </w:rPr>
        <w:t>35</w:t>
      </w:r>
      <w:r w:rsidR="004146D7">
        <w:rPr>
          <w:rFonts w:ascii="Tahoma" w:eastAsia="Times New Roman" w:hAnsi="Tahoma" w:cs="Tahoma"/>
          <w:b/>
          <w:sz w:val="18"/>
          <w:szCs w:val="18"/>
          <w:lang w:val="es-ES" w:eastAsia="es-ES"/>
        </w:rPr>
        <w:t>,</w:t>
      </w:r>
      <w:r w:rsidR="00085AB5">
        <w:rPr>
          <w:rFonts w:ascii="Tahoma" w:eastAsia="Times New Roman" w:hAnsi="Tahoma" w:cs="Tahoma"/>
          <w:b/>
          <w:sz w:val="18"/>
          <w:szCs w:val="18"/>
          <w:lang w:val="es-ES" w:eastAsia="es-ES"/>
        </w:rPr>
        <w:t>2</w:t>
      </w:r>
      <w:r w:rsidR="00960F00">
        <w:rPr>
          <w:rFonts w:ascii="Tahoma" w:eastAsia="Times New Roman" w:hAnsi="Tahoma" w:cs="Tahoma"/>
          <w:b/>
          <w:sz w:val="18"/>
          <w:szCs w:val="18"/>
          <w:lang w:val="es-ES" w:eastAsia="es-ES"/>
        </w:rPr>
        <w:t>40</w:t>
      </w:r>
      <w:r w:rsidR="00536021">
        <w:rPr>
          <w:rFonts w:ascii="Tahoma" w:eastAsia="Times New Roman" w:hAnsi="Tahoma" w:cs="Tahoma"/>
          <w:b/>
          <w:sz w:val="18"/>
          <w:szCs w:val="18"/>
          <w:lang w:val="es-ES" w:eastAsia="es-ES"/>
        </w:rPr>
        <w:t>,</w:t>
      </w:r>
      <w:r w:rsidR="00960F00">
        <w:rPr>
          <w:rFonts w:ascii="Tahoma" w:eastAsia="Times New Roman" w:hAnsi="Tahoma" w:cs="Tahoma"/>
          <w:b/>
          <w:sz w:val="18"/>
          <w:szCs w:val="18"/>
          <w:lang w:val="es-ES" w:eastAsia="es-ES"/>
        </w:rPr>
        <w:t>608</w:t>
      </w:r>
      <w:r w:rsidR="004146D7">
        <w:rPr>
          <w:rFonts w:ascii="Tahoma" w:eastAsia="Times New Roman" w:hAnsi="Tahoma" w:cs="Tahoma"/>
          <w:b/>
          <w:sz w:val="18"/>
          <w:szCs w:val="18"/>
          <w:lang w:val="es-ES" w:eastAsia="es-ES"/>
        </w:rPr>
        <w:t>.</w:t>
      </w:r>
      <w:r w:rsidR="00960F00">
        <w:rPr>
          <w:rFonts w:ascii="Tahoma" w:eastAsia="Times New Roman" w:hAnsi="Tahoma" w:cs="Tahoma"/>
          <w:b/>
          <w:sz w:val="18"/>
          <w:szCs w:val="18"/>
          <w:lang w:val="es-ES" w:eastAsia="es-ES"/>
        </w:rPr>
        <w:t>70</w:t>
      </w:r>
      <w:r w:rsidR="00CE77ED" w:rsidRPr="00B74AA3">
        <w:rPr>
          <w:rFonts w:ascii="Tahoma" w:eastAsia="Times New Roman" w:hAnsi="Tahoma" w:cs="Tahoma"/>
          <w:b/>
          <w:sz w:val="18"/>
          <w:szCs w:val="18"/>
          <w:lang w:val="es-ES" w:eastAsia="es-ES"/>
        </w:rPr>
        <w:t xml:space="preserve"> </w:t>
      </w:r>
      <w:r w:rsidR="005C17DC" w:rsidRPr="00B74AA3">
        <w:rPr>
          <w:rFonts w:ascii="Tahoma" w:eastAsia="Times New Roman" w:hAnsi="Tahoma" w:cs="Tahoma"/>
          <w:sz w:val="18"/>
          <w:szCs w:val="18"/>
          <w:lang w:val="es-ES" w:eastAsia="es-ES"/>
        </w:rPr>
        <w:t>(Treinta</w:t>
      </w:r>
      <w:r w:rsidR="00F97479" w:rsidRPr="00B74AA3">
        <w:rPr>
          <w:rFonts w:ascii="Tahoma" w:eastAsia="Times New Roman" w:hAnsi="Tahoma" w:cs="Tahoma"/>
          <w:sz w:val="18"/>
          <w:szCs w:val="18"/>
          <w:lang w:val="es-ES" w:eastAsia="es-ES"/>
        </w:rPr>
        <w:t xml:space="preserve"> y </w:t>
      </w:r>
      <w:r w:rsidR="005C17DC">
        <w:rPr>
          <w:rFonts w:ascii="Tahoma" w:eastAsia="Times New Roman" w:hAnsi="Tahoma" w:cs="Tahoma"/>
          <w:sz w:val="18"/>
          <w:szCs w:val="18"/>
          <w:lang w:val="es-ES" w:eastAsia="es-ES"/>
        </w:rPr>
        <w:t>cinco</w:t>
      </w:r>
      <w:r w:rsidR="005C17DC" w:rsidRPr="00B74AA3">
        <w:rPr>
          <w:rFonts w:ascii="Tahoma" w:eastAsia="Times New Roman" w:hAnsi="Tahoma" w:cs="Tahoma"/>
          <w:sz w:val="18"/>
          <w:szCs w:val="18"/>
          <w:lang w:val="es-ES" w:eastAsia="es-ES"/>
        </w:rPr>
        <w:t xml:space="preserve"> millones</w:t>
      </w:r>
      <w:r w:rsidR="00CD02EA" w:rsidRPr="00B74AA3">
        <w:rPr>
          <w:rFonts w:ascii="Tahoma" w:eastAsia="Times New Roman" w:hAnsi="Tahoma" w:cs="Tahoma"/>
          <w:sz w:val="18"/>
          <w:szCs w:val="18"/>
          <w:lang w:val="es-ES" w:eastAsia="es-ES"/>
        </w:rPr>
        <w:t xml:space="preserve"> </w:t>
      </w:r>
      <w:r w:rsidR="00085AB5">
        <w:rPr>
          <w:rFonts w:ascii="Tahoma" w:eastAsia="Times New Roman" w:hAnsi="Tahoma" w:cs="Tahoma"/>
          <w:sz w:val="18"/>
          <w:szCs w:val="18"/>
          <w:lang w:val="es-ES" w:eastAsia="es-ES"/>
        </w:rPr>
        <w:t>dos</w:t>
      </w:r>
      <w:r w:rsidR="00CD02EA" w:rsidRPr="00B74AA3">
        <w:rPr>
          <w:rFonts w:ascii="Tahoma" w:eastAsia="Times New Roman" w:hAnsi="Tahoma" w:cs="Tahoma"/>
          <w:sz w:val="18"/>
          <w:szCs w:val="18"/>
          <w:lang w:val="es-ES" w:eastAsia="es-ES"/>
        </w:rPr>
        <w:t>ciento</w:t>
      </w:r>
      <w:r w:rsidR="0015519C">
        <w:rPr>
          <w:rFonts w:ascii="Tahoma" w:eastAsia="Times New Roman" w:hAnsi="Tahoma" w:cs="Tahoma"/>
          <w:sz w:val="18"/>
          <w:szCs w:val="18"/>
          <w:lang w:val="es-ES" w:eastAsia="es-ES"/>
        </w:rPr>
        <w:t>s</w:t>
      </w:r>
      <w:r w:rsidR="00CD02EA" w:rsidRPr="00B74AA3">
        <w:rPr>
          <w:rFonts w:ascii="Tahoma" w:eastAsia="Times New Roman" w:hAnsi="Tahoma" w:cs="Tahoma"/>
          <w:sz w:val="18"/>
          <w:szCs w:val="18"/>
          <w:lang w:val="es-ES" w:eastAsia="es-ES"/>
        </w:rPr>
        <w:t xml:space="preserve"> </w:t>
      </w:r>
      <w:r w:rsidR="00960F00">
        <w:rPr>
          <w:rFonts w:ascii="Tahoma" w:eastAsia="Times New Roman" w:hAnsi="Tahoma" w:cs="Tahoma"/>
          <w:sz w:val="18"/>
          <w:szCs w:val="18"/>
          <w:lang w:val="es-ES" w:eastAsia="es-ES"/>
        </w:rPr>
        <w:t>cuarenta</w:t>
      </w:r>
      <w:r w:rsidR="00CE77ED"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 xml:space="preserve">mil </w:t>
      </w:r>
      <w:r w:rsidR="00960F00">
        <w:rPr>
          <w:rFonts w:ascii="Tahoma" w:eastAsia="Times New Roman" w:hAnsi="Tahoma" w:cs="Tahoma"/>
          <w:sz w:val="18"/>
          <w:szCs w:val="18"/>
          <w:lang w:val="es-ES" w:eastAsia="es-ES"/>
        </w:rPr>
        <w:t>seisci</w:t>
      </w:r>
      <w:r w:rsidR="009D2F2A">
        <w:rPr>
          <w:rFonts w:ascii="Tahoma" w:eastAsia="Times New Roman" w:hAnsi="Tahoma" w:cs="Tahoma"/>
          <w:sz w:val="18"/>
          <w:szCs w:val="18"/>
          <w:lang w:val="es-ES" w:eastAsia="es-ES"/>
        </w:rPr>
        <w:t xml:space="preserve">entos </w:t>
      </w:r>
      <w:r w:rsidR="00960F00">
        <w:rPr>
          <w:rFonts w:ascii="Tahoma" w:eastAsia="Times New Roman" w:hAnsi="Tahoma" w:cs="Tahoma"/>
          <w:sz w:val="18"/>
          <w:szCs w:val="18"/>
          <w:lang w:val="es-ES" w:eastAsia="es-ES"/>
        </w:rPr>
        <w:t>ocho</w:t>
      </w:r>
      <w:r w:rsidR="00A52ECA">
        <w:rPr>
          <w:rFonts w:ascii="Tahoma" w:eastAsia="Times New Roman" w:hAnsi="Tahoma" w:cs="Tahoma"/>
          <w:sz w:val="18"/>
          <w:szCs w:val="18"/>
          <w:lang w:val="es-ES" w:eastAsia="es-ES"/>
        </w:rPr>
        <w:t xml:space="preserve"> </w:t>
      </w:r>
      <w:r w:rsidR="00443431" w:rsidRPr="00B74AA3">
        <w:rPr>
          <w:rFonts w:ascii="Tahoma" w:eastAsia="Times New Roman" w:hAnsi="Tahoma" w:cs="Tahoma"/>
          <w:sz w:val="18"/>
          <w:szCs w:val="18"/>
          <w:lang w:val="es-ES" w:eastAsia="es-ES"/>
        </w:rPr>
        <w:t>pesos</w:t>
      </w:r>
      <w:r w:rsidR="0028792F" w:rsidRPr="00B74AA3">
        <w:rPr>
          <w:rFonts w:ascii="Tahoma" w:eastAsia="Times New Roman" w:hAnsi="Tahoma" w:cs="Tahoma"/>
          <w:sz w:val="18"/>
          <w:szCs w:val="18"/>
          <w:lang w:val="es-ES" w:eastAsia="es-ES"/>
        </w:rPr>
        <w:t xml:space="preserve"> </w:t>
      </w:r>
      <w:r w:rsidR="00960F00">
        <w:rPr>
          <w:rFonts w:ascii="Tahoma" w:eastAsia="Times New Roman" w:hAnsi="Tahoma" w:cs="Tahoma"/>
          <w:sz w:val="18"/>
          <w:szCs w:val="18"/>
          <w:lang w:val="es-ES" w:eastAsia="es-ES"/>
        </w:rPr>
        <w:t>70</w:t>
      </w:r>
      <w:r w:rsidRPr="00B74AA3">
        <w:rPr>
          <w:rFonts w:ascii="Tahoma" w:eastAsia="Times New Roman" w:hAnsi="Tahoma" w:cs="Tahoma"/>
          <w:sz w:val="18"/>
          <w:szCs w:val="18"/>
          <w:lang w:val="es-ES" w:eastAsia="es-ES"/>
        </w:rPr>
        <w:t>/100 m.n.).</w:t>
      </w:r>
    </w:p>
    <w:p w:rsidR="0015519C" w:rsidRDefault="0015519C" w:rsidP="0015519C">
      <w:pPr>
        <w:spacing w:after="0" w:line="276" w:lineRule="auto"/>
        <w:ind w:left="643"/>
        <w:jc w:val="both"/>
        <w:rPr>
          <w:rFonts w:ascii="Tahoma" w:eastAsia="Times New Roman" w:hAnsi="Tahoma" w:cs="Tahoma"/>
          <w:sz w:val="18"/>
          <w:szCs w:val="18"/>
          <w:lang w:val="es-ES" w:eastAsia="es-ES"/>
        </w:rPr>
      </w:pPr>
    </w:p>
    <w:bookmarkStart w:id="0" w:name="_MON_1744713957"/>
    <w:bookmarkEnd w:id="0"/>
    <w:p w:rsidR="0015519C" w:rsidRPr="00B74AA3" w:rsidRDefault="005C17DC" w:rsidP="0015519C">
      <w:pPr>
        <w:spacing w:after="0" w:line="276" w:lineRule="auto"/>
        <w:ind w:left="643"/>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202" w:dyaOrig="3678">
          <v:shape id="_x0000_i1064" type="#_x0000_t75" style="width:394.6pt;height:183.25pt" o:ole="">
            <v:imagedata r:id="rId10" o:title=""/>
          </v:shape>
          <o:OLEObject Type="Embed" ProgID="Excel.Sheet.12" ShapeID="_x0000_i1064" DrawAspect="Content" ObjectID="_1752917425" r:id="rId11"/>
        </w:objec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E44004">
        <w:rPr>
          <w:rFonts w:ascii="Tahoma" w:eastAsia="Times New Roman" w:hAnsi="Tahoma" w:cs="Tahoma"/>
          <w:sz w:val="18"/>
          <w:szCs w:val="18"/>
          <w:lang w:val="es-ES" w:eastAsia="es-ES"/>
        </w:rPr>
        <w:t>Julio</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00763F">
        <w:rPr>
          <w:rFonts w:ascii="Tahoma" w:eastAsia="Times New Roman" w:hAnsi="Tahoma" w:cs="Tahoma"/>
          <w:b/>
          <w:sz w:val="18"/>
          <w:szCs w:val="18"/>
          <w:lang w:val="es-ES" w:eastAsia="es-ES"/>
        </w:rPr>
        <w:t>61</w:t>
      </w:r>
      <w:r w:rsidR="005C17DC">
        <w:rPr>
          <w:rFonts w:ascii="Tahoma" w:eastAsia="Times New Roman" w:hAnsi="Tahoma" w:cs="Tahoma"/>
          <w:b/>
          <w:sz w:val="18"/>
          <w:szCs w:val="18"/>
          <w:lang w:val="es-ES" w:eastAsia="es-ES"/>
        </w:rPr>
        <w:t>4</w:t>
      </w:r>
      <w:r w:rsidR="00E241E9" w:rsidRPr="00B74AA3">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7</w:t>
      </w:r>
      <w:r w:rsidR="005910FA">
        <w:rPr>
          <w:rFonts w:ascii="Tahoma" w:eastAsia="Times New Roman" w:hAnsi="Tahoma" w:cs="Tahoma"/>
          <w:b/>
          <w:sz w:val="18"/>
          <w:szCs w:val="18"/>
          <w:lang w:val="es-ES" w:eastAsia="es-ES"/>
        </w:rPr>
        <w:t>8</w:t>
      </w:r>
      <w:r w:rsidR="0000763F">
        <w:rPr>
          <w:rFonts w:ascii="Tahoma" w:eastAsia="Times New Roman" w:hAnsi="Tahoma" w:cs="Tahoma"/>
          <w:b/>
          <w:sz w:val="18"/>
          <w:szCs w:val="18"/>
          <w:lang w:val="es-ES" w:eastAsia="es-ES"/>
        </w:rPr>
        <w:t>0</w:t>
      </w:r>
      <w:r w:rsidR="00E241E9" w:rsidRPr="00B74AA3">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98</w:t>
      </w:r>
      <w:r w:rsidR="0000763F">
        <w:rPr>
          <w:rFonts w:ascii="Tahoma" w:eastAsia="Times New Roman" w:hAnsi="Tahoma" w:cs="Tahoma"/>
          <w:b/>
          <w:sz w:val="18"/>
          <w:szCs w:val="18"/>
          <w:lang w:val="es-ES" w:eastAsia="es-ES"/>
        </w:rPr>
        <w:t>6</w:t>
      </w:r>
      <w:r w:rsidR="004F6804">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41</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 xml:space="preserve">Seiscientos </w:t>
      </w:r>
      <w:r w:rsidR="005C17DC">
        <w:rPr>
          <w:rFonts w:ascii="Tahoma" w:eastAsia="Times New Roman" w:hAnsi="Tahoma" w:cs="Tahoma"/>
          <w:sz w:val="18"/>
          <w:szCs w:val="18"/>
          <w:lang w:val="es-ES" w:eastAsia="es-ES"/>
        </w:rPr>
        <w:t>catorce</w:t>
      </w:r>
      <w:r w:rsidR="005910FA">
        <w:rPr>
          <w:rFonts w:ascii="Tahoma" w:eastAsia="Times New Roman" w:hAnsi="Tahoma" w:cs="Tahoma"/>
          <w:sz w:val="18"/>
          <w:szCs w:val="18"/>
          <w:lang w:val="es-ES" w:eastAsia="es-ES"/>
        </w:rPr>
        <w:t xml:space="preserve"> </w:t>
      </w:r>
      <w:r w:rsidR="005C17DC" w:rsidRPr="00B74AA3">
        <w:rPr>
          <w:rFonts w:ascii="Tahoma" w:eastAsia="Times New Roman" w:hAnsi="Tahoma" w:cs="Tahoma"/>
          <w:sz w:val="18"/>
          <w:szCs w:val="18"/>
          <w:lang w:val="es-ES" w:eastAsia="es-ES"/>
        </w:rPr>
        <w:t>millon</w:t>
      </w:r>
      <w:r w:rsidR="005C17DC">
        <w:rPr>
          <w:rFonts w:ascii="Tahoma" w:eastAsia="Times New Roman" w:hAnsi="Tahoma" w:cs="Tahoma"/>
          <w:sz w:val="18"/>
          <w:szCs w:val="18"/>
          <w:lang w:val="es-ES" w:eastAsia="es-ES"/>
        </w:rPr>
        <w:t>es</w:t>
      </w:r>
      <w:r w:rsidR="00ED0123" w:rsidRPr="00B74AA3">
        <w:rPr>
          <w:rFonts w:ascii="Tahoma" w:eastAsia="Times New Roman" w:hAnsi="Tahoma" w:cs="Tahoma"/>
          <w:sz w:val="18"/>
          <w:szCs w:val="18"/>
          <w:lang w:val="es-ES" w:eastAsia="es-ES"/>
        </w:rPr>
        <w:t xml:space="preserve"> </w:t>
      </w:r>
      <w:r w:rsidR="005C17DC">
        <w:rPr>
          <w:rFonts w:ascii="Tahoma" w:eastAsia="Times New Roman" w:hAnsi="Tahoma" w:cs="Tahoma"/>
          <w:sz w:val="18"/>
          <w:szCs w:val="18"/>
          <w:lang w:val="es-ES" w:eastAsia="es-ES"/>
        </w:rPr>
        <w:t>sete</w:t>
      </w:r>
      <w:r w:rsidR="0000763F">
        <w:rPr>
          <w:rFonts w:ascii="Tahoma" w:eastAsia="Times New Roman" w:hAnsi="Tahoma" w:cs="Tahoma"/>
          <w:sz w:val="18"/>
          <w:szCs w:val="18"/>
          <w:lang w:val="es-ES" w:eastAsia="es-ES"/>
        </w:rPr>
        <w:t>ciento</w:t>
      </w:r>
      <w:r w:rsidR="005C17DC">
        <w:rPr>
          <w:rFonts w:ascii="Tahoma" w:eastAsia="Times New Roman" w:hAnsi="Tahoma" w:cs="Tahoma"/>
          <w:sz w:val="18"/>
          <w:szCs w:val="18"/>
          <w:lang w:val="es-ES" w:eastAsia="es-ES"/>
        </w:rPr>
        <w:t>s</w:t>
      </w:r>
      <w:r w:rsidR="00ED0123"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ochenta</w:t>
      </w:r>
      <w:r w:rsidR="00ED0123" w:rsidRPr="00B74AA3">
        <w:rPr>
          <w:rFonts w:ascii="Tahoma" w:eastAsia="Times New Roman" w:hAnsi="Tahoma" w:cs="Tahoma"/>
          <w:sz w:val="18"/>
          <w:szCs w:val="18"/>
          <w:lang w:val="es-ES" w:eastAsia="es-ES"/>
        </w:rPr>
        <w:t xml:space="preserve"> mil </w:t>
      </w:r>
      <w:r w:rsidR="005C17DC">
        <w:rPr>
          <w:rFonts w:ascii="Tahoma" w:eastAsia="Times New Roman" w:hAnsi="Tahoma" w:cs="Tahoma"/>
          <w:sz w:val="18"/>
          <w:szCs w:val="18"/>
          <w:lang w:val="es-ES" w:eastAsia="es-ES"/>
        </w:rPr>
        <w:t>nove</w:t>
      </w:r>
      <w:r w:rsidR="005910FA">
        <w:rPr>
          <w:rFonts w:ascii="Tahoma" w:eastAsia="Times New Roman" w:hAnsi="Tahoma" w:cs="Tahoma"/>
          <w:sz w:val="18"/>
          <w:szCs w:val="18"/>
          <w:lang w:val="es-ES" w:eastAsia="es-ES"/>
        </w:rPr>
        <w:t>c</w:t>
      </w:r>
      <w:r w:rsidR="005910FA" w:rsidRPr="00B74AA3">
        <w:rPr>
          <w:rFonts w:ascii="Tahoma" w:eastAsia="Times New Roman" w:hAnsi="Tahoma" w:cs="Tahoma"/>
          <w:sz w:val="18"/>
          <w:szCs w:val="18"/>
          <w:lang w:val="es-ES" w:eastAsia="es-ES"/>
        </w:rPr>
        <w:t>ientos</w:t>
      </w:r>
      <w:r w:rsidR="004F6804">
        <w:rPr>
          <w:rFonts w:ascii="Tahoma" w:eastAsia="Times New Roman" w:hAnsi="Tahoma" w:cs="Tahoma"/>
          <w:sz w:val="18"/>
          <w:szCs w:val="18"/>
          <w:lang w:val="es-ES" w:eastAsia="es-ES"/>
        </w:rPr>
        <w:t xml:space="preserve"> </w:t>
      </w:r>
      <w:r w:rsidR="005C17DC">
        <w:rPr>
          <w:rFonts w:ascii="Tahoma" w:eastAsia="Times New Roman" w:hAnsi="Tahoma" w:cs="Tahoma"/>
          <w:sz w:val="18"/>
          <w:szCs w:val="18"/>
          <w:lang w:val="es-ES" w:eastAsia="es-ES"/>
        </w:rPr>
        <w:t>ochenta y seis</w:t>
      </w:r>
      <w:r w:rsidR="004F6804">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5C17DC">
        <w:rPr>
          <w:rFonts w:ascii="Tahoma" w:eastAsia="Times New Roman" w:hAnsi="Tahoma" w:cs="Tahoma"/>
          <w:sz w:val="18"/>
          <w:szCs w:val="18"/>
          <w:lang w:val="es-ES" w:eastAsia="es-ES"/>
        </w:rPr>
        <w:t>41</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111,416,201.01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00763F" w:rsidP="005C17D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5C17DC">
              <w:rPr>
                <w:rFonts w:ascii="Tahoma" w:eastAsia="Times New Roman" w:hAnsi="Tahoma" w:cs="Tahoma"/>
                <w:sz w:val="18"/>
                <w:szCs w:val="18"/>
                <w:lang w:val="es-ES" w:eastAsia="es-ES"/>
              </w:rPr>
              <w:t>48</w:t>
            </w:r>
            <w:r w:rsidR="005910FA">
              <w:rPr>
                <w:rFonts w:ascii="Tahoma" w:eastAsia="Times New Roman" w:hAnsi="Tahoma" w:cs="Tahoma"/>
                <w:sz w:val="18"/>
                <w:szCs w:val="18"/>
                <w:lang w:val="es-ES" w:eastAsia="es-ES"/>
              </w:rPr>
              <w:t>,</w:t>
            </w:r>
            <w:r w:rsidR="005C17DC">
              <w:rPr>
                <w:rFonts w:ascii="Tahoma" w:eastAsia="Times New Roman" w:hAnsi="Tahoma" w:cs="Tahoma"/>
                <w:sz w:val="18"/>
                <w:szCs w:val="18"/>
                <w:lang w:val="es-ES" w:eastAsia="es-ES"/>
              </w:rPr>
              <w:t>169</w:t>
            </w:r>
            <w:r>
              <w:rPr>
                <w:rFonts w:ascii="Tahoma" w:eastAsia="Times New Roman" w:hAnsi="Tahoma" w:cs="Tahoma"/>
                <w:sz w:val="18"/>
                <w:szCs w:val="18"/>
                <w:lang w:val="es-ES" w:eastAsia="es-ES"/>
              </w:rPr>
              <w:t>,</w:t>
            </w:r>
            <w:r w:rsidR="005C17DC">
              <w:rPr>
                <w:rFonts w:ascii="Tahoma" w:eastAsia="Times New Roman" w:hAnsi="Tahoma" w:cs="Tahoma"/>
                <w:sz w:val="18"/>
                <w:szCs w:val="18"/>
                <w:lang w:val="es-ES" w:eastAsia="es-ES"/>
              </w:rPr>
              <w:t>114</w:t>
            </w:r>
            <w:r w:rsidR="005910FA">
              <w:rPr>
                <w:rFonts w:ascii="Tahoma" w:eastAsia="Times New Roman" w:hAnsi="Tahoma" w:cs="Tahoma"/>
                <w:sz w:val="18"/>
                <w:szCs w:val="18"/>
                <w:lang w:val="es-ES" w:eastAsia="es-ES"/>
              </w:rPr>
              <w:t>.</w:t>
            </w:r>
            <w:r w:rsidR="005C17DC">
              <w:rPr>
                <w:rFonts w:ascii="Tahoma" w:eastAsia="Times New Roman" w:hAnsi="Tahoma" w:cs="Tahoma"/>
                <w:sz w:val="18"/>
                <w:szCs w:val="18"/>
                <w:lang w:val="es-ES" w:eastAsia="es-ES"/>
              </w:rPr>
              <w:t>63</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4F6804" w:rsidP="005C17D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w:t>
            </w:r>
            <w:r w:rsidR="00CD02EA" w:rsidRPr="00B74AA3">
              <w:rPr>
                <w:rFonts w:ascii="Tahoma" w:eastAsia="Times New Roman" w:hAnsi="Tahoma" w:cs="Tahoma"/>
                <w:sz w:val="18"/>
                <w:szCs w:val="18"/>
                <w:lang w:val="es-ES" w:eastAsia="es-ES"/>
              </w:rPr>
              <w:t>,</w:t>
            </w:r>
            <w:r w:rsidR="005C17DC">
              <w:rPr>
                <w:rFonts w:ascii="Tahoma" w:eastAsia="Times New Roman" w:hAnsi="Tahoma" w:cs="Tahoma"/>
                <w:sz w:val="18"/>
                <w:szCs w:val="18"/>
                <w:lang w:val="es-ES" w:eastAsia="es-ES"/>
              </w:rPr>
              <w:t>76</w:t>
            </w:r>
            <w:r>
              <w:rPr>
                <w:rFonts w:ascii="Tahoma" w:eastAsia="Times New Roman" w:hAnsi="Tahoma" w:cs="Tahoma"/>
                <w:sz w:val="18"/>
                <w:szCs w:val="18"/>
                <w:lang w:val="es-ES" w:eastAsia="es-ES"/>
              </w:rPr>
              <w:t>8</w:t>
            </w:r>
            <w:r w:rsidR="00CD02EA" w:rsidRPr="00B74AA3">
              <w:rPr>
                <w:rFonts w:ascii="Tahoma" w:eastAsia="Times New Roman" w:hAnsi="Tahoma" w:cs="Tahoma"/>
                <w:sz w:val="18"/>
                <w:szCs w:val="18"/>
                <w:lang w:val="es-ES" w:eastAsia="es-ES"/>
              </w:rPr>
              <w:t>,</w:t>
            </w:r>
            <w:r w:rsidR="005C17DC">
              <w:rPr>
                <w:rFonts w:ascii="Tahoma" w:eastAsia="Times New Roman" w:hAnsi="Tahoma" w:cs="Tahoma"/>
                <w:sz w:val="18"/>
                <w:szCs w:val="18"/>
                <w:lang w:val="es-ES" w:eastAsia="es-ES"/>
              </w:rPr>
              <w:t>800</w:t>
            </w:r>
            <w:r w:rsidR="00CD02EA" w:rsidRPr="00B74AA3">
              <w:rPr>
                <w:rFonts w:ascii="Tahoma" w:eastAsia="Times New Roman" w:hAnsi="Tahoma" w:cs="Tahoma"/>
                <w:sz w:val="18"/>
                <w:szCs w:val="18"/>
                <w:lang w:val="es-ES" w:eastAsia="es-ES"/>
              </w:rPr>
              <w:t>.</w:t>
            </w:r>
            <w:r w:rsidR="005C17DC">
              <w:rPr>
                <w:rFonts w:ascii="Tahoma" w:eastAsia="Times New Roman" w:hAnsi="Tahoma" w:cs="Tahoma"/>
                <w:sz w:val="18"/>
                <w:szCs w:val="18"/>
                <w:lang w:val="es-ES" w:eastAsia="es-ES"/>
              </w:rPr>
              <w:t>26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E44004">
        <w:rPr>
          <w:rFonts w:ascii="Tahoma" w:eastAsia="Times New Roman" w:hAnsi="Tahoma" w:cs="Tahoma"/>
          <w:sz w:val="18"/>
          <w:szCs w:val="18"/>
          <w:lang w:val="es-ES" w:eastAsia="es-ES"/>
        </w:rPr>
        <w:t>Julio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r w:rsidR="00BD13CA" w:rsidRPr="00B74AA3">
        <w:rPr>
          <w:rFonts w:ascii="Tahoma" w:eastAsia="Times New Roman" w:hAnsi="Tahoma" w:cs="Tahoma"/>
          <w:b/>
          <w:sz w:val="18"/>
          <w:szCs w:val="18"/>
          <w:lang w:val="es-ES" w:eastAsia="es-ES"/>
        </w:rPr>
        <w:t>,</w:t>
      </w:r>
      <w:r w:rsidR="0000763F">
        <w:rPr>
          <w:rFonts w:ascii="Tahoma" w:eastAsia="Times New Roman" w:hAnsi="Tahoma" w:cs="Tahoma"/>
          <w:b/>
          <w:sz w:val="18"/>
          <w:szCs w:val="18"/>
          <w:lang w:val="es-ES" w:eastAsia="es-ES"/>
        </w:rPr>
        <w:t>5</w:t>
      </w:r>
      <w:r w:rsidR="005C17DC">
        <w:rPr>
          <w:rFonts w:ascii="Tahoma" w:eastAsia="Times New Roman" w:hAnsi="Tahoma" w:cs="Tahoma"/>
          <w:b/>
          <w:sz w:val="18"/>
          <w:szCs w:val="18"/>
          <w:lang w:val="es-ES" w:eastAsia="es-ES"/>
        </w:rPr>
        <w:t>05</w:t>
      </w:r>
      <w:r w:rsidR="00A65147">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4</w:t>
      </w:r>
      <w:r w:rsidR="005910FA">
        <w:rPr>
          <w:rFonts w:ascii="Tahoma" w:eastAsia="Times New Roman" w:hAnsi="Tahoma" w:cs="Tahoma"/>
          <w:b/>
          <w:sz w:val="18"/>
          <w:szCs w:val="18"/>
          <w:lang w:val="es-ES" w:eastAsia="es-ES"/>
        </w:rPr>
        <w:t>9</w:t>
      </w:r>
      <w:r w:rsidR="005C17DC">
        <w:rPr>
          <w:rFonts w:ascii="Tahoma" w:eastAsia="Times New Roman" w:hAnsi="Tahoma" w:cs="Tahoma"/>
          <w:b/>
          <w:sz w:val="18"/>
          <w:szCs w:val="18"/>
          <w:lang w:val="es-ES" w:eastAsia="es-ES"/>
        </w:rPr>
        <w:t>3</w:t>
      </w:r>
      <w:r w:rsidR="00A65147">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73</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B066E4">
        <w:rPr>
          <w:rFonts w:ascii="Tahoma" w:eastAsia="Times New Roman" w:hAnsi="Tahoma" w:cs="Tahoma"/>
          <w:sz w:val="18"/>
          <w:szCs w:val="18"/>
          <w:lang w:val="es-ES" w:eastAsia="es-ES"/>
        </w:rPr>
        <w:t>quinien</w:t>
      </w:r>
      <w:r w:rsidR="001B47E0" w:rsidRPr="00B74AA3">
        <w:rPr>
          <w:rFonts w:ascii="Tahoma" w:eastAsia="Times New Roman" w:hAnsi="Tahoma" w:cs="Tahoma"/>
          <w:sz w:val="18"/>
          <w:szCs w:val="18"/>
          <w:lang w:val="es-ES" w:eastAsia="es-ES"/>
        </w:rPr>
        <w:t>to</w:t>
      </w:r>
      <w:r w:rsidR="004F6804">
        <w:rPr>
          <w:rFonts w:ascii="Tahoma" w:eastAsia="Times New Roman" w:hAnsi="Tahoma" w:cs="Tahoma"/>
          <w:sz w:val="18"/>
          <w:szCs w:val="18"/>
          <w:lang w:val="es-ES" w:eastAsia="es-ES"/>
        </w:rPr>
        <w:t>s</w:t>
      </w:r>
      <w:r w:rsidR="001B47E0"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cinco</w:t>
      </w:r>
      <w:r w:rsidR="001B47E0" w:rsidRPr="00B74AA3">
        <w:rPr>
          <w:rFonts w:ascii="Tahoma" w:eastAsia="Times New Roman" w:hAnsi="Tahoma" w:cs="Tahoma"/>
          <w:sz w:val="18"/>
          <w:szCs w:val="18"/>
          <w:lang w:val="es-ES" w:eastAsia="es-ES"/>
        </w:rPr>
        <w:t xml:space="preserve"> mil </w:t>
      </w:r>
      <w:r w:rsidR="00B066E4">
        <w:rPr>
          <w:rFonts w:ascii="Tahoma" w:eastAsia="Times New Roman" w:hAnsi="Tahoma" w:cs="Tahoma"/>
          <w:sz w:val="18"/>
          <w:szCs w:val="18"/>
          <w:lang w:val="es-ES" w:eastAsia="es-ES"/>
        </w:rPr>
        <w:t>cuatro</w:t>
      </w:r>
      <w:r w:rsidR="005910FA">
        <w:rPr>
          <w:rFonts w:ascii="Tahoma" w:eastAsia="Times New Roman" w:hAnsi="Tahoma" w:cs="Tahoma"/>
          <w:sz w:val="18"/>
          <w:szCs w:val="18"/>
          <w:lang w:val="es-ES" w:eastAsia="es-ES"/>
        </w:rPr>
        <w:t xml:space="preserve">cientos </w:t>
      </w:r>
      <w:r w:rsidR="00B066E4">
        <w:rPr>
          <w:rFonts w:ascii="Tahoma" w:eastAsia="Times New Roman" w:hAnsi="Tahoma" w:cs="Tahoma"/>
          <w:sz w:val="18"/>
          <w:szCs w:val="18"/>
          <w:lang w:val="es-ES" w:eastAsia="es-ES"/>
        </w:rPr>
        <w:t>noventa y tres</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B066E4">
        <w:rPr>
          <w:rFonts w:ascii="Tahoma" w:eastAsia="Times New Roman" w:hAnsi="Tahoma" w:cs="Tahoma"/>
          <w:sz w:val="18"/>
          <w:szCs w:val="18"/>
          <w:lang w:val="es-ES" w:eastAsia="es-ES"/>
        </w:rPr>
        <w:t>73</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B066E4">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107</w:t>
            </w:r>
            <w:r w:rsidR="00483C1A"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718</w:t>
            </w:r>
            <w:r w:rsidR="00483C1A"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35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00763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00763F">
              <w:rPr>
                <w:rFonts w:ascii="Tahoma" w:eastAsia="Times New Roman" w:hAnsi="Tahoma" w:cs="Tahoma"/>
                <w:sz w:val="18"/>
                <w:szCs w:val="18"/>
                <w:lang w:val="es-ES" w:eastAsia="es-ES"/>
              </w:rPr>
              <w:t>208</w:t>
            </w:r>
            <w:r w:rsidR="001B47E0" w:rsidRPr="00B74AA3">
              <w:rPr>
                <w:rFonts w:ascii="Tahoma" w:eastAsia="Times New Roman" w:hAnsi="Tahoma" w:cs="Tahoma"/>
                <w:sz w:val="18"/>
                <w:szCs w:val="18"/>
                <w:lang w:val="es-ES" w:eastAsia="es-ES"/>
              </w:rPr>
              <w:t>,</w:t>
            </w:r>
            <w:r w:rsidR="0000763F">
              <w:rPr>
                <w:rFonts w:ascii="Tahoma" w:eastAsia="Times New Roman" w:hAnsi="Tahoma" w:cs="Tahoma"/>
                <w:sz w:val="18"/>
                <w:szCs w:val="18"/>
                <w:lang w:val="es-ES" w:eastAsia="es-ES"/>
              </w:rPr>
              <w:t>85</w:t>
            </w:r>
            <w:r w:rsidR="00A65147">
              <w:rPr>
                <w:rFonts w:ascii="Tahoma" w:eastAsia="Times New Roman" w:hAnsi="Tahoma" w:cs="Tahoma"/>
                <w:sz w:val="18"/>
                <w:szCs w:val="18"/>
                <w:lang w:val="es-ES" w:eastAsia="es-ES"/>
              </w:rPr>
              <w:t>6</w:t>
            </w:r>
            <w:r w:rsidR="001B47E0" w:rsidRPr="00B74AA3">
              <w:rPr>
                <w:rFonts w:ascii="Tahoma" w:eastAsia="Times New Roman" w:hAnsi="Tahoma" w:cs="Tahoma"/>
                <w:sz w:val="18"/>
                <w:szCs w:val="18"/>
                <w:lang w:val="es-ES" w:eastAsia="es-ES"/>
              </w:rPr>
              <w:t>.95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5910FA" w:rsidP="005910F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A65147">
              <w:rPr>
                <w:rFonts w:ascii="Tahoma" w:eastAsia="Times New Roman" w:hAnsi="Tahoma" w:cs="Tahoma"/>
                <w:sz w:val="18"/>
                <w:szCs w:val="18"/>
                <w:lang w:val="es-ES" w:eastAsia="es-ES"/>
              </w:rPr>
              <w:t>8,7</w:t>
            </w:r>
            <w:r>
              <w:rPr>
                <w:rFonts w:ascii="Tahoma" w:eastAsia="Times New Roman" w:hAnsi="Tahoma" w:cs="Tahoma"/>
                <w:sz w:val="18"/>
                <w:szCs w:val="18"/>
                <w:lang w:val="es-ES" w:eastAsia="es-ES"/>
              </w:rPr>
              <w:t>67</w:t>
            </w:r>
            <w:r w:rsidR="00A65147">
              <w:rPr>
                <w:rFonts w:ascii="Tahoma" w:eastAsia="Times New Roman" w:hAnsi="Tahoma" w:cs="Tahoma"/>
                <w:sz w:val="18"/>
                <w:szCs w:val="18"/>
                <w:lang w:val="es-ES" w:eastAsia="es-ES"/>
              </w:rPr>
              <w:t>.10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E822D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069</w:t>
            </w:r>
            <w:r w:rsidR="00113C5A" w:rsidRPr="00B74AA3">
              <w:rPr>
                <w:rFonts w:ascii="Tahoma" w:eastAsia="Times New Roman" w:hAnsi="Tahoma" w:cs="Tahoma"/>
                <w:sz w:val="18"/>
                <w:szCs w:val="18"/>
                <w:lang w:val="es-ES" w:eastAsia="es-ES"/>
              </w:rPr>
              <w:t>,516.70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B066E4">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B066E4">
              <w:rPr>
                <w:rFonts w:ascii="Tahoma" w:eastAsia="Times New Roman" w:hAnsi="Tahoma" w:cs="Tahoma"/>
                <w:sz w:val="18"/>
                <w:szCs w:val="18"/>
                <w:lang w:val="es-ES" w:eastAsia="es-ES"/>
              </w:rPr>
              <w:t>605</w:t>
            </w:r>
            <w:r w:rsidR="00131483"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97</w:t>
            </w:r>
            <w:r w:rsidR="004F6804">
              <w:rPr>
                <w:rFonts w:ascii="Tahoma" w:eastAsia="Times New Roman" w:hAnsi="Tahoma" w:cs="Tahoma"/>
                <w:sz w:val="18"/>
                <w:szCs w:val="18"/>
                <w:lang w:val="es-ES" w:eastAsia="es-ES"/>
              </w:rPr>
              <w:t>2</w:t>
            </w:r>
            <w:r w:rsidR="00E822D1"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3</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E44004">
        <w:rPr>
          <w:rFonts w:ascii="Tahoma" w:eastAsia="Times New Roman" w:hAnsi="Tahoma" w:cs="Tahoma"/>
          <w:sz w:val="18"/>
          <w:szCs w:val="18"/>
          <w:lang w:val="es-ES" w:eastAsia="es-ES"/>
        </w:rPr>
        <w:t>Julio</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E44004">
        <w:rPr>
          <w:rFonts w:ascii="Tahoma" w:eastAsia="Times New Roman" w:hAnsi="Tahoma" w:cs="Tahoma"/>
          <w:sz w:val="18"/>
          <w:szCs w:val="18"/>
          <w:lang w:val="es-ES" w:eastAsia="es-ES"/>
        </w:rPr>
        <w:t>Julio</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B066E4">
        <w:rPr>
          <w:rFonts w:ascii="Tahoma" w:eastAsia="Times New Roman" w:hAnsi="Tahoma" w:cs="Tahoma"/>
          <w:b/>
          <w:sz w:val="18"/>
          <w:szCs w:val="18"/>
          <w:lang w:val="es-ES" w:eastAsia="es-ES"/>
        </w:rPr>
        <w:t>52</w:t>
      </w:r>
      <w:r w:rsidR="008B04A5" w:rsidRPr="00B74AA3">
        <w:rPr>
          <w:rFonts w:ascii="Tahoma" w:eastAsia="Times New Roman" w:hAnsi="Tahoma" w:cs="Tahoma"/>
          <w:b/>
          <w:sz w:val="18"/>
          <w:szCs w:val="18"/>
          <w:lang w:val="es-ES" w:eastAsia="es-ES"/>
        </w:rPr>
        <w:t>,</w:t>
      </w:r>
      <w:r w:rsidR="009D2F2A">
        <w:rPr>
          <w:rFonts w:ascii="Tahoma" w:eastAsia="Times New Roman" w:hAnsi="Tahoma" w:cs="Tahoma"/>
          <w:b/>
          <w:sz w:val="18"/>
          <w:szCs w:val="18"/>
          <w:lang w:val="es-ES" w:eastAsia="es-ES"/>
        </w:rPr>
        <w:t>03</w:t>
      </w:r>
      <w:r w:rsidR="00B066E4">
        <w:rPr>
          <w:rFonts w:ascii="Tahoma" w:eastAsia="Times New Roman" w:hAnsi="Tahoma" w:cs="Tahoma"/>
          <w:b/>
          <w:sz w:val="18"/>
          <w:szCs w:val="18"/>
          <w:lang w:val="es-ES" w:eastAsia="es-ES"/>
        </w:rPr>
        <w:t>8</w:t>
      </w:r>
      <w:r w:rsidR="00F64FB3" w:rsidRPr="00B74AA3">
        <w:rPr>
          <w:rFonts w:ascii="Tahoma" w:eastAsia="Times New Roman" w:hAnsi="Tahoma" w:cs="Tahoma"/>
          <w:b/>
          <w:sz w:val="18"/>
          <w:szCs w:val="18"/>
          <w:lang w:val="es-ES" w:eastAsia="es-ES"/>
        </w:rPr>
        <w:t>,</w:t>
      </w:r>
      <w:r w:rsidR="00B066E4">
        <w:rPr>
          <w:rFonts w:ascii="Tahoma" w:eastAsia="Times New Roman" w:hAnsi="Tahoma" w:cs="Tahoma"/>
          <w:b/>
          <w:sz w:val="18"/>
          <w:szCs w:val="18"/>
          <w:lang w:val="es-ES" w:eastAsia="es-ES"/>
        </w:rPr>
        <w:t>325</w:t>
      </w:r>
      <w:r w:rsidR="00F64FB3" w:rsidRPr="00B74AA3">
        <w:rPr>
          <w:rFonts w:ascii="Tahoma" w:eastAsia="Times New Roman" w:hAnsi="Tahoma" w:cs="Tahoma"/>
          <w:b/>
          <w:sz w:val="18"/>
          <w:szCs w:val="18"/>
          <w:lang w:val="es-ES" w:eastAsia="es-ES"/>
        </w:rPr>
        <w:t>.</w:t>
      </w:r>
      <w:r w:rsidR="009D2F2A">
        <w:rPr>
          <w:rFonts w:ascii="Tahoma" w:eastAsia="Times New Roman" w:hAnsi="Tahoma" w:cs="Tahoma"/>
          <w:b/>
          <w:sz w:val="18"/>
          <w:szCs w:val="18"/>
          <w:lang w:val="es-ES" w:eastAsia="es-ES"/>
        </w:rPr>
        <w:t>9</w:t>
      </w:r>
      <w:r w:rsidR="00B066E4">
        <w:rPr>
          <w:rFonts w:ascii="Tahoma" w:eastAsia="Times New Roman" w:hAnsi="Tahoma" w:cs="Tahoma"/>
          <w:b/>
          <w:sz w:val="18"/>
          <w:szCs w:val="18"/>
          <w:lang w:val="es-ES" w:eastAsia="es-ES"/>
        </w:rPr>
        <w:t>2</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625FFB">
        <w:rPr>
          <w:rFonts w:ascii="Tahoma" w:eastAsia="Times New Roman" w:hAnsi="Tahoma" w:cs="Tahoma"/>
          <w:sz w:val="18"/>
          <w:szCs w:val="18"/>
          <w:lang w:val="es-ES" w:eastAsia="es-ES"/>
        </w:rPr>
        <w:t>cincuenta</w:t>
      </w:r>
      <w:r w:rsidR="00B066E4">
        <w:rPr>
          <w:rFonts w:ascii="Tahoma" w:eastAsia="Times New Roman" w:hAnsi="Tahoma" w:cs="Tahoma"/>
          <w:sz w:val="18"/>
          <w:szCs w:val="18"/>
          <w:lang w:val="es-ES" w:eastAsia="es-ES"/>
        </w:rPr>
        <w:t xml:space="preserve"> y dos</w:t>
      </w:r>
      <w:r w:rsidR="00625FFB">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9D2F2A">
        <w:rPr>
          <w:rFonts w:ascii="Tahoma" w:eastAsia="Times New Roman" w:hAnsi="Tahoma" w:cs="Tahoma"/>
          <w:sz w:val="18"/>
          <w:szCs w:val="18"/>
          <w:lang w:val="es-ES" w:eastAsia="es-ES"/>
        </w:rPr>
        <w:t>tre</w:t>
      </w:r>
      <w:r w:rsidR="00B066E4">
        <w:rPr>
          <w:rFonts w:ascii="Tahoma" w:eastAsia="Times New Roman" w:hAnsi="Tahoma" w:cs="Tahoma"/>
          <w:sz w:val="18"/>
          <w:szCs w:val="18"/>
          <w:lang w:val="es-ES" w:eastAsia="es-ES"/>
        </w:rPr>
        <w:t>inta y ocho</w:t>
      </w:r>
      <w:r w:rsidR="00271DA3" w:rsidRPr="00B74AA3">
        <w:rPr>
          <w:rFonts w:ascii="Tahoma" w:eastAsia="Times New Roman" w:hAnsi="Tahoma" w:cs="Tahoma"/>
          <w:sz w:val="18"/>
          <w:szCs w:val="18"/>
          <w:lang w:val="es-ES" w:eastAsia="es-ES"/>
        </w:rPr>
        <w:t xml:space="preserve"> mil </w:t>
      </w:r>
      <w:r w:rsidR="00B066E4">
        <w:rPr>
          <w:rFonts w:ascii="Tahoma" w:eastAsia="Times New Roman" w:hAnsi="Tahoma" w:cs="Tahoma"/>
          <w:sz w:val="18"/>
          <w:szCs w:val="18"/>
          <w:lang w:val="es-ES" w:eastAsia="es-ES"/>
        </w:rPr>
        <w:t>tresc</w:t>
      </w:r>
      <w:r w:rsidR="002D26C3">
        <w:rPr>
          <w:rFonts w:ascii="Tahoma" w:eastAsia="Times New Roman" w:hAnsi="Tahoma" w:cs="Tahoma"/>
          <w:sz w:val="18"/>
          <w:szCs w:val="18"/>
          <w:lang w:val="es-ES" w:eastAsia="es-ES"/>
        </w:rPr>
        <w:t xml:space="preserve">ientos </w:t>
      </w:r>
      <w:r w:rsidR="00B066E4">
        <w:rPr>
          <w:rFonts w:ascii="Tahoma" w:eastAsia="Times New Roman" w:hAnsi="Tahoma" w:cs="Tahoma"/>
          <w:sz w:val="18"/>
          <w:szCs w:val="18"/>
          <w:lang w:val="es-ES" w:eastAsia="es-ES"/>
        </w:rPr>
        <w:t>veinticinco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9D2F2A">
        <w:rPr>
          <w:rFonts w:ascii="Tahoma" w:eastAsia="Times New Roman" w:hAnsi="Tahoma" w:cs="Tahoma"/>
          <w:sz w:val="18"/>
          <w:szCs w:val="18"/>
          <w:lang w:val="es-ES" w:eastAsia="es-ES"/>
        </w:rPr>
        <w:t>9</w:t>
      </w:r>
      <w:r w:rsidR="00B066E4">
        <w:rPr>
          <w:rFonts w:ascii="Tahoma" w:eastAsia="Times New Roman" w:hAnsi="Tahoma" w:cs="Tahoma"/>
          <w:sz w:val="18"/>
          <w:szCs w:val="18"/>
          <w:lang w:val="es-ES" w:eastAsia="es-ES"/>
        </w:rPr>
        <w:t>2</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B066E4"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07" w:dyaOrig="5858">
          <v:shape id="_x0000_i1082" type="#_x0000_t75" style="width:440.4pt;height:292.7pt" o:ole="">
            <v:imagedata r:id="rId12" o:title=""/>
          </v:shape>
          <o:OLEObject Type="Embed" ProgID="Excel.Sheet.12" ShapeID="_x0000_i1082" DrawAspect="Content" ObjectID="_1752917426" r:id="rId13"/>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E44004">
        <w:rPr>
          <w:rFonts w:ascii="Tahoma" w:eastAsia="Times New Roman" w:hAnsi="Tahoma" w:cs="Tahoma"/>
          <w:sz w:val="18"/>
          <w:szCs w:val="18"/>
          <w:lang w:val="es-ES" w:eastAsia="es-ES"/>
        </w:rPr>
        <w:t>Julio</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B066E4">
        <w:rPr>
          <w:rFonts w:ascii="Tahoma" w:eastAsia="Times New Roman" w:hAnsi="Tahoma" w:cs="Tahoma"/>
          <w:b/>
          <w:sz w:val="18"/>
          <w:szCs w:val="18"/>
          <w:lang w:val="es-ES" w:eastAsia="es-ES"/>
        </w:rPr>
        <w:t>17</w:t>
      </w:r>
      <w:r w:rsidR="00C20F1D">
        <w:rPr>
          <w:rFonts w:ascii="Tahoma" w:eastAsia="Times New Roman" w:hAnsi="Tahoma" w:cs="Tahoma"/>
          <w:b/>
          <w:sz w:val="18"/>
          <w:szCs w:val="18"/>
          <w:lang w:val="es-ES" w:eastAsia="es-ES"/>
        </w:rPr>
        <w:t>,</w:t>
      </w:r>
      <w:r w:rsidR="00B066E4">
        <w:rPr>
          <w:rFonts w:ascii="Tahoma" w:eastAsia="Times New Roman" w:hAnsi="Tahoma" w:cs="Tahoma"/>
          <w:b/>
          <w:sz w:val="18"/>
          <w:szCs w:val="18"/>
          <w:lang w:val="es-ES" w:eastAsia="es-ES"/>
        </w:rPr>
        <w:t>800</w:t>
      </w:r>
      <w:r w:rsidR="00625FFB">
        <w:rPr>
          <w:rFonts w:ascii="Tahoma" w:eastAsia="Times New Roman" w:hAnsi="Tahoma" w:cs="Tahoma"/>
          <w:b/>
          <w:sz w:val="18"/>
          <w:szCs w:val="18"/>
          <w:lang w:val="es-ES" w:eastAsia="es-ES"/>
        </w:rPr>
        <w:t>,</w:t>
      </w:r>
      <w:r w:rsidR="00B066E4">
        <w:rPr>
          <w:rFonts w:ascii="Tahoma" w:eastAsia="Times New Roman" w:hAnsi="Tahoma" w:cs="Tahoma"/>
          <w:b/>
          <w:sz w:val="18"/>
          <w:szCs w:val="18"/>
          <w:lang w:val="es-ES" w:eastAsia="es-ES"/>
        </w:rPr>
        <w:t>826</w:t>
      </w:r>
      <w:r w:rsidR="00625FFB">
        <w:rPr>
          <w:rFonts w:ascii="Tahoma" w:eastAsia="Times New Roman" w:hAnsi="Tahoma" w:cs="Tahoma"/>
          <w:b/>
          <w:sz w:val="18"/>
          <w:szCs w:val="18"/>
          <w:lang w:val="es-ES" w:eastAsia="es-ES"/>
        </w:rPr>
        <w:t>.</w:t>
      </w:r>
      <w:r w:rsidR="00C20F1D">
        <w:rPr>
          <w:rFonts w:ascii="Tahoma" w:eastAsia="Times New Roman" w:hAnsi="Tahoma" w:cs="Tahoma"/>
          <w:b/>
          <w:sz w:val="18"/>
          <w:szCs w:val="18"/>
          <w:lang w:val="es-ES" w:eastAsia="es-ES"/>
        </w:rPr>
        <w:t>6</w:t>
      </w:r>
      <w:r w:rsidR="00B066E4">
        <w:rPr>
          <w:rFonts w:ascii="Tahoma" w:eastAsia="Times New Roman" w:hAnsi="Tahoma" w:cs="Tahoma"/>
          <w:b/>
          <w:sz w:val="18"/>
          <w:szCs w:val="18"/>
          <w:lang w:val="es-ES" w:eastAsia="es-ES"/>
        </w:rPr>
        <w:t>5</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B066E4">
        <w:rPr>
          <w:rFonts w:ascii="Tahoma" w:eastAsia="Times New Roman" w:hAnsi="Tahoma" w:cs="Tahoma"/>
          <w:sz w:val="18"/>
          <w:szCs w:val="18"/>
          <w:lang w:val="es-ES" w:eastAsia="es-ES"/>
        </w:rPr>
        <w:t>Diecisiete</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B066E4">
        <w:rPr>
          <w:rFonts w:ascii="Tahoma" w:eastAsia="Times New Roman" w:hAnsi="Tahoma" w:cs="Tahoma"/>
          <w:sz w:val="18"/>
          <w:szCs w:val="18"/>
          <w:lang w:val="es-ES" w:eastAsia="es-ES"/>
        </w:rPr>
        <w:t>ochocientos</w:t>
      </w:r>
      <w:r w:rsidR="007C73AB" w:rsidRPr="00B74AA3">
        <w:rPr>
          <w:rFonts w:ascii="Tahoma" w:eastAsia="Times New Roman" w:hAnsi="Tahoma" w:cs="Tahoma"/>
          <w:sz w:val="18"/>
          <w:szCs w:val="18"/>
          <w:lang w:val="es-ES" w:eastAsia="es-ES"/>
        </w:rPr>
        <w:t xml:space="preserve"> mil </w:t>
      </w:r>
      <w:r w:rsidR="00B066E4">
        <w:rPr>
          <w:rFonts w:ascii="Tahoma" w:eastAsia="Times New Roman" w:hAnsi="Tahoma" w:cs="Tahoma"/>
          <w:sz w:val="18"/>
          <w:szCs w:val="18"/>
          <w:lang w:val="es-ES" w:eastAsia="es-ES"/>
        </w:rPr>
        <w:t>ocho</w:t>
      </w:r>
      <w:r w:rsidR="00625FFB">
        <w:rPr>
          <w:rFonts w:ascii="Tahoma" w:eastAsia="Times New Roman" w:hAnsi="Tahoma" w:cs="Tahoma"/>
          <w:sz w:val="18"/>
          <w:szCs w:val="18"/>
          <w:lang w:val="es-ES" w:eastAsia="es-ES"/>
        </w:rPr>
        <w:t>cientos</w:t>
      </w:r>
      <w:r w:rsidR="007C73AB" w:rsidRPr="00B74AA3">
        <w:rPr>
          <w:rFonts w:ascii="Tahoma" w:eastAsia="Times New Roman" w:hAnsi="Tahoma" w:cs="Tahoma"/>
          <w:sz w:val="18"/>
          <w:szCs w:val="18"/>
          <w:lang w:val="es-ES" w:eastAsia="es-ES"/>
        </w:rPr>
        <w:t xml:space="preserve"> </w:t>
      </w:r>
      <w:r w:rsidR="00B066E4">
        <w:rPr>
          <w:rFonts w:ascii="Tahoma" w:eastAsia="Times New Roman" w:hAnsi="Tahoma" w:cs="Tahoma"/>
          <w:sz w:val="18"/>
          <w:szCs w:val="18"/>
          <w:lang w:val="es-ES" w:eastAsia="es-ES"/>
        </w:rPr>
        <w:t>veintiséis</w:t>
      </w:r>
      <w:r w:rsidR="00CB7B57" w:rsidRPr="00B74AA3">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C20F1D">
        <w:rPr>
          <w:rFonts w:ascii="Tahoma" w:eastAsia="Times New Roman" w:hAnsi="Tahoma" w:cs="Tahoma"/>
          <w:sz w:val="18"/>
          <w:szCs w:val="18"/>
          <w:lang w:val="es-ES" w:eastAsia="es-ES"/>
        </w:rPr>
        <w:t>6</w:t>
      </w:r>
      <w:r w:rsidR="00B066E4">
        <w:rPr>
          <w:rFonts w:ascii="Tahoma" w:eastAsia="Times New Roman" w:hAnsi="Tahoma" w:cs="Tahoma"/>
          <w:sz w:val="18"/>
          <w:szCs w:val="18"/>
          <w:lang w:val="es-ES" w:eastAsia="es-ES"/>
        </w:rPr>
        <w:t>5</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E44004">
        <w:rPr>
          <w:rFonts w:ascii="Tahoma" w:eastAsia="Times New Roman" w:hAnsi="Tahoma" w:cs="Tahoma"/>
          <w:sz w:val="18"/>
          <w:szCs w:val="18"/>
          <w:lang w:val="es-ES" w:eastAsia="es-ES"/>
        </w:rPr>
        <w:t>Julio</w:t>
      </w:r>
      <w:r w:rsidR="002A6935">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2A6935">
        <w:rPr>
          <w:rFonts w:ascii="Tahoma" w:eastAsia="Times New Roman" w:hAnsi="Tahoma" w:cs="Tahoma"/>
          <w:b/>
          <w:sz w:val="18"/>
          <w:szCs w:val="18"/>
          <w:lang w:val="es-ES" w:eastAsia="es-ES"/>
        </w:rPr>
        <w:t>4</w:t>
      </w:r>
      <w:r w:rsidR="00B066E4">
        <w:rPr>
          <w:rFonts w:ascii="Tahoma" w:eastAsia="Times New Roman" w:hAnsi="Tahoma" w:cs="Tahoma"/>
          <w:b/>
          <w:sz w:val="18"/>
          <w:szCs w:val="18"/>
          <w:lang w:val="es-ES" w:eastAsia="es-ES"/>
        </w:rPr>
        <w:t>4,</w:t>
      </w:r>
      <w:r w:rsidR="002A6935">
        <w:rPr>
          <w:rFonts w:ascii="Tahoma" w:eastAsia="Times New Roman" w:hAnsi="Tahoma" w:cs="Tahoma"/>
          <w:b/>
          <w:sz w:val="18"/>
          <w:szCs w:val="18"/>
          <w:lang w:val="es-ES" w:eastAsia="es-ES"/>
        </w:rPr>
        <w:t>056.70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B066E4">
        <w:rPr>
          <w:rFonts w:ascii="Tahoma" w:eastAsia="Times New Roman" w:hAnsi="Tahoma" w:cs="Tahoma"/>
          <w:sz w:val="18"/>
          <w:szCs w:val="18"/>
          <w:lang w:val="es-ES" w:eastAsia="es-ES"/>
        </w:rPr>
        <w:t>Cuarenta</w:t>
      </w:r>
      <w:r w:rsidR="002A6935">
        <w:rPr>
          <w:rFonts w:ascii="Tahoma" w:eastAsia="Times New Roman" w:hAnsi="Tahoma" w:cs="Tahoma"/>
          <w:sz w:val="18"/>
          <w:szCs w:val="18"/>
          <w:lang w:val="es-ES" w:eastAsia="es-ES"/>
        </w:rPr>
        <w:t xml:space="preserve"> y cuatro</w:t>
      </w:r>
      <w:r>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mil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E44004">
        <w:rPr>
          <w:rFonts w:ascii="Tahoma" w:eastAsia="Times New Roman" w:hAnsi="Tahoma" w:cs="Tahoma"/>
          <w:sz w:val="18"/>
          <w:szCs w:val="18"/>
          <w:lang w:val="es-ES" w:eastAsia="es-ES"/>
        </w:rPr>
        <w:t>Julio</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FB06B2">
        <w:rPr>
          <w:rFonts w:ascii="Tahoma" w:eastAsia="Times New Roman" w:hAnsi="Tahoma" w:cs="Tahoma"/>
          <w:b/>
          <w:sz w:val="18"/>
          <w:szCs w:val="18"/>
          <w:lang w:val="es-ES" w:eastAsia="es-ES"/>
        </w:rPr>
        <w:t>18</w:t>
      </w:r>
      <w:r w:rsidR="00944123">
        <w:rPr>
          <w:rFonts w:ascii="Tahoma" w:eastAsia="Times New Roman" w:hAnsi="Tahoma" w:cs="Tahoma"/>
          <w:b/>
          <w:sz w:val="18"/>
          <w:szCs w:val="18"/>
          <w:lang w:val="es-ES" w:eastAsia="es-ES"/>
        </w:rPr>
        <w:t>,</w:t>
      </w:r>
      <w:r w:rsidR="00FB06B2">
        <w:rPr>
          <w:rFonts w:ascii="Tahoma" w:eastAsia="Times New Roman" w:hAnsi="Tahoma" w:cs="Tahoma"/>
          <w:b/>
          <w:sz w:val="18"/>
          <w:szCs w:val="18"/>
          <w:lang w:val="es-ES" w:eastAsia="es-ES"/>
        </w:rPr>
        <w:t>718</w:t>
      </w:r>
      <w:r w:rsidR="00E7376C" w:rsidRPr="00B74AA3">
        <w:rPr>
          <w:rFonts w:ascii="Tahoma" w:eastAsia="Times New Roman" w:hAnsi="Tahoma" w:cs="Tahoma"/>
          <w:b/>
          <w:sz w:val="18"/>
          <w:szCs w:val="18"/>
          <w:lang w:val="es-ES" w:eastAsia="es-ES"/>
        </w:rPr>
        <w:t>,</w:t>
      </w:r>
      <w:r w:rsidR="00787296">
        <w:rPr>
          <w:rFonts w:ascii="Tahoma" w:eastAsia="Times New Roman" w:hAnsi="Tahoma" w:cs="Tahoma"/>
          <w:b/>
          <w:sz w:val="18"/>
          <w:szCs w:val="18"/>
          <w:lang w:val="es-ES" w:eastAsia="es-ES"/>
        </w:rPr>
        <w:t>4</w:t>
      </w:r>
      <w:r w:rsidR="00FB06B2">
        <w:rPr>
          <w:rFonts w:ascii="Tahoma" w:eastAsia="Times New Roman" w:hAnsi="Tahoma" w:cs="Tahoma"/>
          <w:b/>
          <w:sz w:val="18"/>
          <w:szCs w:val="18"/>
          <w:lang w:val="es-ES" w:eastAsia="es-ES"/>
        </w:rPr>
        <w:t>36</w:t>
      </w:r>
      <w:r w:rsidR="00E7376C" w:rsidRPr="00B74AA3">
        <w:rPr>
          <w:rFonts w:ascii="Tahoma" w:eastAsia="Times New Roman" w:hAnsi="Tahoma" w:cs="Tahoma"/>
          <w:b/>
          <w:sz w:val="18"/>
          <w:szCs w:val="18"/>
          <w:lang w:val="es-ES" w:eastAsia="es-ES"/>
        </w:rPr>
        <w:t>.</w:t>
      </w:r>
      <w:r w:rsidR="00FB06B2">
        <w:rPr>
          <w:rFonts w:ascii="Tahoma" w:eastAsia="Times New Roman" w:hAnsi="Tahoma" w:cs="Tahoma"/>
          <w:b/>
          <w:sz w:val="18"/>
          <w:szCs w:val="18"/>
          <w:lang w:val="es-ES" w:eastAsia="es-ES"/>
        </w:rPr>
        <w:t>91</w:t>
      </w:r>
      <w:r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Pr="00B74AA3">
        <w:rPr>
          <w:rFonts w:ascii="Tahoma" w:eastAsia="Times New Roman" w:hAnsi="Tahoma" w:cs="Tahoma"/>
          <w:sz w:val="18"/>
          <w:szCs w:val="18"/>
          <w:lang w:val="es-ES" w:eastAsia="es-ES"/>
        </w:rPr>
        <w:t xml:space="preserve"> millones </w:t>
      </w:r>
      <w:r w:rsidR="00FB06B2">
        <w:rPr>
          <w:rFonts w:ascii="Tahoma" w:eastAsia="Times New Roman" w:hAnsi="Tahoma" w:cs="Tahoma"/>
          <w:sz w:val="18"/>
          <w:szCs w:val="18"/>
          <w:lang w:val="es-ES" w:eastAsia="es-ES"/>
        </w:rPr>
        <w:t>sete</w:t>
      </w:r>
      <w:r w:rsidR="00944123">
        <w:rPr>
          <w:rFonts w:ascii="Tahoma" w:eastAsia="Times New Roman" w:hAnsi="Tahoma" w:cs="Tahoma"/>
          <w:sz w:val="18"/>
          <w:szCs w:val="18"/>
          <w:lang w:val="es-ES" w:eastAsia="es-ES"/>
        </w:rPr>
        <w:t>ciento</w:t>
      </w:r>
      <w:r w:rsidR="00FB06B2">
        <w:rPr>
          <w:rFonts w:ascii="Tahoma" w:eastAsia="Times New Roman" w:hAnsi="Tahoma" w:cs="Tahoma"/>
          <w:sz w:val="18"/>
          <w:szCs w:val="18"/>
          <w:lang w:val="es-ES" w:eastAsia="es-ES"/>
        </w:rPr>
        <w:t>s</w:t>
      </w:r>
      <w:r w:rsidR="0094412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00FA5E5C" w:rsidRPr="00B74AA3">
        <w:rPr>
          <w:rFonts w:ascii="Tahoma" w:eastAsia="Times New Roman" w:hAnsi="Tahoma" w:cs="Tahoma"/>
          <w:sz w:val="18"/>
          <w:szCs w:val="18"/>
          <w:lang w:val="es-ES" w:eastAsia="es-ES"/>
        </w:rPr>
        <w:t xml:space="preserve"> mil </w:t>
      </w:r>
      <w:r w:rsidR="00787296">
        <w:rPr>
          <w:rFonts w:ascii="Tahoma" w:eastAsia="Times New Roman" w:hAnsi="Tahoma" w:cs="Tahoma"/>
          <w:sz w:val="18"/>
          <w:szCs w:val="18"/>
          <w:lang w:val="es-ES" w:eastAsia="es-ES"/>
        </w:rPr>
        <w:t>cuatroci</w:t>
      </w:r>
      <w:r w:rsidR="00944123">
        <w:rPr>
          <w:rFonts w:ascii="Tahoma" w:eastAsia="Times New Roman" w:hAnsi="Tahoma" w:cs="Tahoma"/>
          <w:sz w:val="18"/>
          <w:szCs w:val="18"/>
          <w:lang w:val="es-ES" w:eastAsia="es-ES"/>
        </w:rPr>
        <w:t>en</w:t>
      </w:r>
      <w:r w:rsidR="00E7376C" w:rsidRPr="00B74AA3">
        <w:rPr>
          <w:rFonts w:ascii="Tahoma" w:eastAsia="Times New Roman" w:hAnsi="Tahoma" w:cs="Tahoma"/>
          <w:sz w:val="18"/>
          <w:szCs w:val="18"/>
          <w:lang w:val="es-ES" w:eastAsia="es-ES"/>
        </w:rPr>
        <w:t>tos</w:t>
      </w:r>
      <w:r w:rsidR="001D5946"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 xml:space="preserve">treinta y seis </w:t>
      </w:r>
      <w:r w:rsidRPr="00B74AA3">
        <w:rPr>
          <w:rFonts w:ascii="Tahoma" w:eastAsia="Times New Roman" w:hAnsi="Tahoma" w:cs="Tahoma"/>
          <w:sz w:val="18"/>
          <w:szCs w:val="18"/>
          <w:lang w:val="es-ES" w:eastAsia="es-ES"/>
        </w:rPr>
        <w:t xml:space="preserve">pesos </w:t>
      </w:r>
      <w:r w:rsidR="00FB06B2">
        <w:rPr>
          <w:rFonts w:ascii="Tahoma" w:eastAsia="Times New Roman" w:hAnsi="Tahoma" w:cs="Tahoma"/>
          <w:sz w:val="18"/>
          <w:szCs w:val="18"/>
          <w:lang w:val="es-ES" w:eastAsia="es-ES"/>
        </w:rPr>
        <w:t>91</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rsidP="00FB06B2">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1,53</w:t>
            </w:r>
            <w:r w:rsidR="00FB06B2">
              <w:rPr>
                <w:rFonts w:ascii="Tahoma" w:eastAsia="Times New Roman" w:hAnsi="Tahoma" w:cs="Tahoma"/>
                <w:sz w:val="18"/>
                <w:szCs w:val="18"/>
                <w:lang w:val="es-ES" w:eastAsia="es-ES"/>
              </w:rPr>
              <w:t>4</w:t>
            </w:r>
            <w:r w:rsidRPr="00D85DB5">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842</w:t>
            </w:r>
            <w:r w:rsidRPr="00D85DB5">
              <w:rPr>
                <w:rFonts w:ascii="Tahoma" w:eastAsia="Times New Roman" w:hAnsi="Tahoma" w:cs="Tahoma"/>
                <w:sz w:val="18"/>
                <w:szCs w:val="18"/>
                <w:lang w:val="es-ES" w:eastAsia="es-ES"/>
              </w:rPr>
              <w:t>.1</w:t>
            </w:r>
            <w:r w:rsidR="00FB06B2">
              <w:rPr>
                <w:rFonts w:ascii="Tahoma" w:eastAsia="Times New Roman" w:hAnsi="Tahoma" w:cs="Tahoma"/>
                <w:sz w:val="18"/>
                <w:szCs w:val="18"/>
                <w:lang w:val="es-ES" w:eastAsia="es-ES"/>
              </w:rPr>
              <w:t>6</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522B0D" w:rsidRDefault="00522B0D">
            <w:pPr>
              <w:spacing w:after="0" w:line="276" w:lineRule="auto"/>
              <w:jc w:val="right"/>
              <w:rPr>
                <w:rFonts w:ascii="Tahoma" w:eastAsia="Times New Roman" w:hAnsi="Tahoma" w:cs="Tahoma"/>
                <w:color w:val="FF0000"/>
                <w:sz w:val="18"/>
                <w:szCs w:val="18"/>
                <w:lang w:val="es-ES" w:eastAsia="es-ES"/>
              </w:rPr>
            </w:pPr>
            <w:r w:rsidRPr="00522B0D">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8F64EE" w:rsidRDefault="008F64EE" w:rsidP="00E67C67">
            <w:pPr>
              <w:spacing w:after="0" w:line="276" w:lineRule="auto"/>
              <w:jc w:val="right"/>
              <w:rPr>
                <w:rFonts w:ascii="Tahoma" w:eastAsia="Times New Roman" w:hAnsi="Tahoma" w:cs="Tahoma"/>
                <w:sz w:val="18"/>
                <w:szCs w:val="18"/>
                <w:lang w:val="es-ES" w:eastAsia="es-ES"/>
              </w:rPr>
            </w:pPr>
            <w:r w:rsidRPr="008F64EE">
              <w:rPr>
                <w:rFonts w:ascii="Tahoma" w:eastAsia="Times New Roman" w:hAnsi="Tahoma" w:cs="Tahoma"/>
                <w:sz w:val="18"/>
                <w:szCs w:val="18"/>
                <w:lang w:val="es-ES" w:eastAsia="es-ES"/>
              </w:rPr>
              <w:t>2</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067</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533</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9</w:t>
            </w:r>
            <w:r w:rsidRPr="008F64EE">
              <w:rPr>
                <w:rFonts w:ascii="Tahoma" w:eastAsia="Times New Roman" w:hAnsi="Tahoma" w:cs="Tahoma"/>
                <w:sz w:val="18"/>
                <w:szCs w:val="18"/>
                <w:lang w:val="es-ES" w:eastAsia="es-ES"/>
              </w:rPr>
              <w:t>0</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E44004">
        <w:rPr>
          <w:rFonts w:ascii="Tahoma" w:eastAsia="Times New Roman" w:hAnsi="Tahoma" w:cs="Tahoma"/>
          <w:sz w:val="18"/>
          <w:szCs w:val="18"/>
          <w:lang w:val="es-ES" w:eastAsia="es-ES"/>
        </w:rPr>
        <w:t>Julio</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A11B38">
        <w:rPr>
          <w:rFonts w:ascii="Tahoma" w:eastAsia="Times New Roman" w:hAnsi="Tahoma" w:cs="Tahoma"/>
          <w:b/>
          <w:sz w:val="18"/>
          <w:szCs w:val="18"/>
          <w:lang w:val="es-ES" w:eastAsia="es-ES"/>
        </w:rPr>
        <w:t>431</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986</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637</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3</w:t>
      </w:r>
      <w:r w:rsidR="00FB06B2">
        <w:rPr>
          <w:rFonts w:ascii="Tahoma" w:eastAsia="Times New Roman" w:hAnsi="Tahoma" w:cs="Tahoma"/>
          <w:b/>
          <w:sz w:val="18"/>
          <w:szCs w:val="18"/>
          <w:lang w:val="es-ES" w:eastAsia="es-ES"/>
        </w:rPr>
        <w:t>8</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727E70" w:rsidRPr="00B74AA3">
        <w:rPr>
          <w:rFonts w:ascii="Tahoma" w:eastAsia="Times New Roman" w:hAnsi="Tahoma" w:cs="Tahoma"/>
          <w:sz w:val="18"/>
          <w:szCs w:val="18"/>
          <w:lang w:val="es-ES" w:eastAsia="es-ES"/>
        </w:rPr>
        <w:t xml:space="preserve">treinta y </w:t>
      </w:r>
      <w:r w:rsidR="00A11B38">
        <w:rPr>
          <w:rFonts w:ascii="Tahoma" w:eastAsia="Times New Roman" w:hAnsi="Tahoma" w:cs="Tahoma"/>
          <w:sz w:val="18"/>
          <w:szCs w:val="18"/>
          <w:lang w:val="es-ES" w:eastAsia="es-ES"/>
        </w:rPr>
        <w:t>un</w:t>
      </w:r>
      <w:r w:rsidRPr="00B74AA3">
        <w:rPr>
          <w:rFonts w:ascii="Tahoma" w:eastAsia="Times New Roman" w:hAnsi="Tahoma" w:cs="Tahoma"/>
          <w:sz w:val="18"/>
          <w:szCs w:val="18"/>
          <w:lang w:val="es-ES" w:eastAsia="es-ES"/>
        </w:rPr>
        <w:t xml:space="preserve"> millones</w:t>
      </w:r>
      <w:r w:rsidR="00E7229D" w:rsidRPr="00B74AA3">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nove</w:t>
      </w:r>
      <w:r w:rsidR="00FB06B2">
        <w:rPr>
          <w:rFonts w:ascii="Tahoma" w:eastAsia="Times New Roman" w:hAnsi="Tahoma" w:cs="Tahoma"/>
          <w:sz w:val="18"/>
          <w:szCs w:val="18"/>
          <w:lang w:val="es-ES" w:eastAsia="es-ES"/>
        </w:rPr>
        <w:t>ciento</w:t>
      </w:r>
      <w:r w:rsidR="00A11B38">
        <w:rPr>
          <w:rFonts w:ascii="Tahoma" w:eastAsia="Times New Roman" w:hAnsi="Tahoma" w:cs="Tahoma"/>
          <w:sz w:val="18"/>
          <w:szCs w:val="18"/>
          <w:lang w:val="es-ES" w:eastAsia="es-ES"/>
        </w:rPr>
        <w:t>s</w:t>
      </w:r>
      <w:r w:rsidR="00FB06B2">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ochenta</w:t>
      </w:r>
      <w:r w:rsidR="00FB06B2">
        <w:rPr>
          <w:rFonts w:ascii="Tahoma" w:eastAsia="Times New Roman" w:hAnsi="Tahoma" w:cs="Tahoma"/>
          <w:sz w:val="18"/>
          <w:szCs w:val="18"/>
          <w:lang w:val="es-ES" w:eastAsia="es-ES"/>
        </w:rPr>
        <w:t xml:space="preserve"> y seis</w:t>
      </w:r>
      <w:r w:rsidR="00A44C88"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A11B38">
        <w:rPr>
          <w:rFonts w:ascii="Tahoma" w:eastAsia="Times New Roman" w:hAnsi="Tahoma" w:cs="Tahoma"/>
          <w:sz w:val="18"/>
          <w:szCs w:val="18"/>
          <w:lang w:val="es-ES" w:eastAsia="es-ES"/>
        </w:rPr>
        <w:t>sei</w:t>
      </w:r>
      <w:r w:rsidR="00FB06B2">
        <w:rPr>
          <w:rFonts w:ascii="Tahoma" w:eastAsia="Times New Roman" w:hAnsi="Tahoma" w:cs="Tahoma"/>
          <w:sz w:val="18"/>
          <w:szCs w:val="18"/>
          <w:lang w:val="es-ES" w:eastAsia="es-ES"/>
        </w:rPr>
        <w:t>scientos</w:t>
      </w:r>
      <w:r w:rsidR="00A15436" w:rsidRPr="00B74AA3">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treinta</w:t>
      </w:r>
      <w:r w:rsidR="00FB06B2">
        <w:rPr>
          <w:rFonts w:ascii="Tahoma" w:eastAsia="Times New Roman" w:hAnsi="Tahoma" w:cs="Tahoma"/>
          <w:sz w:val="18"/>
          <w:szCs w:val="18"/>
          <w:lang w:val="es-ES" w:eastAsia="es-ES"/>
        </w:rPr>
        <w:t xml:space="preserve"> y </w:t>
      </w:r>
      <w:r w:rsidR="00A11B38">
        <w:rPr>
          <w:rFonts w:ascii="Tahoma" w:eastAsia="Times New Roman" w:hAnsi="Tahoma" w:cs="Tahoma"/>
          <w:sz w:val="18"/>
          <w:szCs w:val="18"/>
          <w:lang w:val="es-ES" w:eastAsia="es-ES"/>
        </w:rPr>
        <w:t>siete</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A11B38">
        <w:rPr>
          <w:rFonts w:ascii="Tahoma" w:eastAsia="Times New Roman" w:hAnsi="Tahoma" w:cs="Tahoma"/>
          <w:sz w:val="18"/>
          <w:szCs w:val="18"/>
          <w:lang w:val="es-ES" w:eastAsia="es-ES"/>
        </w:rPr>
        <w:t>3</w:t>
      </w:r>
      <w:r w:rsidR="00FB06B2">
        <w:rPr>
          <w:rFonts w:ascii="Tahoma" w:eastAsia="Times New Roman" w:hAnsi="Tahoma" w:cs="Tahoma"/>
          <w:sz w:val="18"/>
          <w:szCs w:val="18"/>
          <w:lang w:val="es-ES" w:eastAsia="es-ES"/>
        </w:rPr>
        <w:t>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10,700,186.04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37,365,804.09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80,671,980.72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83,842,372.58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103,605,773.98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033A7" w:rsidP="00FB06B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12</w:t>
            </w:r>
            <w:r w:rsidR="00F45F4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w:t>
            </w:r>
            <w:r w:rsidR="00FB06B2">
              <w:rPr>
                <w:rFonts w:ascii="Tahoma" w:eastAsia="Times New Roman" w:hAnsi="Tahoma" w:cs="Tahoma"/>
                <w:sz w:val="18"/>
                <w:szCs w:val="18"/>
                <w:lang w:val="es-ES" w:eastAsia="es-ES"/>
              </w:rPr>
              <w:t>66</w:t>
            </w:r>
            <w:r w:rsidR="00727E70" w:rsidRPr="00B74AA3">
              <w:rPr>
                <w:rFonts w:ascii="Tahoma" w:eastAsia="Times New Roman" w:hAnsi="Tahoma" w:cs="Tahoma"/>
                <w:sz w:val="18"/>
                <w:szCs w:val="18"/>
                <w:lang w:val="es-ES" w:eastAsia="es-ES"/>
              </w:rPr>
              <w:t>,</w:t>
            </w:r>
            <w:r w:rsidR="008F64EE">
              <w:rPr>
                <w:rFonts w:ascii="Tahoma" w:eastAsia="Times New Roman" w:hAnsi="Tahoma" w:cs="Tahoma"/>
                <w:sz w:val="18"/>
                <w:szCs w:val="18"/>
                <w:lang w:val="es-ES" w:eastAsia="es-ES"/>
              </w:rPr>
              <w:t>7</w:t>
            </w:r>
            <w:r w:rsidR="00FB06B2">
              <w:rPr>
                <w:rFonts w:ascii="Tahoma" w:eastAsia="Times New Roman" w:hAnsi="Tahoma" w:cs="Tahoma"/>
                <w:sz w:val="18"/>
                <w:szCs w:val="18"/>
                <w:lang w:val="es-ES" w:eastAsia="es-ES"/>
              </w:rPr>
              <w:t>17</w:t>
            </w:r>
            <w:r w:rsidR="00727E70" w:rsidRPr="00B74AA3">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9</w:t>
            </w:r>
            <w:r w:rsidR="008F64EE">
              <w:rPr>
                <w:rFonts w:ascii="Tahoma" w:eastAsia="Times New Roman" w:hAnsi="Tahoma" w:cs="Tahoma"/>
                <w:sz w:val="18"/>
                <w:szCs w:val="18"/>
                <w:lang w:val="es-ES" w:eastAsia="es-ES"/>
              </w:rPr>
              <w:t>7</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B74AA3" w:rsidRDefault="008033A7" w:rsidP="00A11B38">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13,</w:t>
            </w:r>
            <w:r w:rsidR="00A11B38">
              <w:rPr>
                <w:rFonts w:ascii="Tahoma" w:eastAsia="Times New Roman" w:hAnsi="Tahoma" w:cs="Tahoma"/>
                <w:sz w:val="18"/>
                <w:szCs w:val="18"/>
                <w:lang w:val="es-ES" w:eastAsia="es-ES"/>
              </w:rPr>
              <w:t>53</w:t>
            </w:r>
            <w:r w:rsidR="00FB06B2">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w:t>
            </w:r>
            <w:r w:rsidR="00A11B38">
              <w:rPr>
                <w:rFonts w:ascii="Tahoma" w:eastAsia="Times New Roman" w:hAnsi="Tahoma" w:cs="Tahoma"/>
                <w:sz w:val="18"/>
                <w:szCs w:val="18"/>
                <w:lang w:val="es-ES" w:eastAsia="es-ES"/>
              </w:rPr>
              <w:t>527</w:t>
            </w:r>
            <w:r w:rsidRPr="00B74AA3">
              <w:rPr>
                <w:rFonts w:ascii="Tahoma" w:eastAsia="Times New Roman" w:hAnsi="Tahoma" w:cs="Tahoma"/>
                <w:sz w:val="18"/>
                <w:szCs w:val="18"/>
                <w:lang w:val="es-ES" w:eastAsia="es-ES"/>
              </w:rPr>
              <w:t>.</w:t>
            </w:r>
            <w:r w:rsidR="00A11B38">
              <w:rPr>
                <w:rFonts w:ascii="Tahoma" w:eastAsia="Times New Roman" w:hAnsi="Tahoma" w:cs="Tahoma"/>
                <w:sz w:val="18"/>
                <w:szCs w:val="18"/>
                <w:lang w:val="es-ES" w:eastAsia="es-ES"/>
              </w:rPr>
              <w:t>07</w:t>
            </w:r>
          </w:p>
        </w:tc>
      </w:tr>
    </w:tbl>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B74AA3" w:rsidRDefault="00113C5A" w:rsidP="00F710C3">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E44004">
        <w:rPr>
          <w:rFonts w:ascii="Tahoma" w:eastAsia="Times New Roman" w:hAnsi="Tahoma" w:cs="Tahoma"/>
          <w:sz w:val="18"/>
          <w:szCs w:val="18"/>
          <w:lang w:val="es-ES" w:eastAsia="es-ES"/>
        </w:rPr>
        <w:t>Julio</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3F7A41">
        <w:rPr>
          <w:rFonts w:ascii="Tahoma" w:eastAsia="Times New Roman" w:hAnsi="Tahoma" w:cs="Tahoma"/>
          <w:b/>
          <w:sz w:val="18"/>
          <w:szCs w:val="18"/>
          <w:lang w:val="es-ES" w:eastAsia="es-ES"/>
        </w:rPr>
        <w:t>92</w:t>
      </w:r>
      <w:r w:rsidR="00B74AA3" w:rsidRPr="00B74AA3">
        <w:rPr>
          <w:rFonts w:ascii="Tahoma" w:eastAsia="Times New Roman" w:hAnsi="Tahoma" w:cs="Tahoma"/>
          <w:b/>
          <w:sz w:val="18"/>
          <w:szCs w:val="18"/>
          <w:lang w:val="es-ES" w:eastAsia="es-ES"/>
        </w:rPr>
        <w:t>,</w:t>
      </w:r>
      <w:r w:rsidR="003F7A41">
        <w:rPr>
          <w:rFonts w:ascii="Tahoma" w:eastAsia="Times New Roman" w:hAnsi="Tahoma" w:cs="Tahoma"/>
          <w:b/>
          <w:sz w:val="18"/>
          <w:szCs w:val="18"/>
          <w:lang w:val="es-ES" w:eastAsia="es-ES"/>
        </w:rPr>
        <w:t>021</w:t>
      </w:r>
      <w:r w:rsidR="00B74AA3"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3</w:t>
      </w:r>
      <w:r w:rsidR="003F7A41">
        <w:rPr>
          <w:rFonts w:ascii="Tahoma" w:eastAsia="Times New Roman" w:hAnsi="Tahoma" w:cs="Tahoma"/>
          <w:b/>
          <w:sz w:val="18"/>
          <w:szCs w:val="18"/>
          <w:lang w:val="es-ES" w:eastAsia="es-ES"/>
        </w:rPr>
        <w:t>20</w:t>
      </w:r>
      <w:r w:rsidR="00B74AA3"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4</w:t>
      </w:r>
      <w:r w:rsidR="003F7A41">
        <w:rPr>
          <w:rFonts w:ascii="Tahoma" w:eastAsia="Times New Roman" w:hAnsi="Tahoma" w:cs="Tahoma"/>
          <w:b/>
          <w:sz w:val="18"/>
          <w:szCs w:val="18"/>
          <w:lang w:val="es-ES" w:eastAsia="es-ES"/>
        </w:rPr>
        <w:t>3</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3F7A41">
        <w:rPr>
          <w:rFonts w:ascii="Tahoma" w:eastAsia="Times New Roman" w:hAnsi="Tahoma" w:cs="Tahoma"/>
          <w:sz w:val="18"/>
          <w:szCs w:val="18"/>
          <w:lang w:val="es-ES" w:eastAsia="es-ES"/>
        </w:rPr>
        <w:t>Noventa y dos</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3F7A41">
        <w:rPr>
          <w:rFonts w:ascii="Tahoma" w:eastAsia="Times New Roman" w:hAnsi="Tahoma" w:cs="Tahoma"/>
          <w:sz w:val="18"/>
          <w:szCs w:val="18"/>
          <w:lang w:val="es-ES" w:eastAsia="es-ES"/>
        </w:rPr>
        <w:t>veintiún</w:t>
      </w:r>
      <w:r w:rsidR="00CB5A61">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 </w:t>
      </w:r>
      <w:r w:rsidR="003F7A41">
        <w:rPr>
          <w:rFonts w:ascii="Tahoma" w:eastAsia="Times New Roman" w:hAnsi="Tahoma" w:cs="Tahoma"/>
          <w:sz w:val="18"/>
          <w:szCs w:val="18"/>
          <w:lang w:val="es-ES" w:eastAsia="es-ES"/>
        </w:rPr>
        <w:t>tre</w:t>
      </w:r>
      <w:r w:rsidR="00A11B38">
        <w:rPr>
          <w:rFonts w:ascii="Tahoma" w:eastAsia="Times New Roman" w:hAnsi="Tahoma" w:cs="Tahoma"/>
          <w:sz w:val="18"/>
          <w:szCs w:val="18"/>
          <w:lang w:val="es-ES" w:eastAsia="es-ES"/>
        </w:rPr>
        <w:t>s</w:t>
      </w:r>
      <w:r w:rsidR="00D42658" w:rsidRPr="00B74AA3">
        <w:rPr>
          <w:rFonts w:ascii="Tahoma" w:eastAsia="Times New Roman" w:hAnsi="Tahoma" w:cs="Tahoma"/>
          <w:sz w:val="18"/>
          <w:szCs w:val="18"/>
          <w:lang w:val="es-ES" w:eastAsia="es-ES"/>
        </w:rPr>
        <w:t>cient</w:t>
      </w:r>
      <w:r w:rsidR="00882ED0" w:rsidRPr="00B74AA3">
        <w:rPr>
          <w:rFonts w:ascii="Tahoma" w:eastAsia="Times New Roman" w:hAnsi="Tahoma" w:cs="Tahoma"/>
          <w:sz w:val="18"/>
          <w:szCs w:val="18"/>
          <w:lang w:val="es-ES" w:eastAsia="es-ES"/>
        </w:rPr>
        <w:t>o</w:t>
      </w:r>
      <w:r w:rsidR="00A00DFD" w:rsidRPr="00B74AA3">
        <w:rPr>
          <w:rFonts w:ascii="Tahoma" w:eastAsia="Times New Roman" w:hAnsi="Tahoma" w:cs="Tahoma"/>
          <w:sz w:val="18"/>
          <w:szCs w:val="18"/>
          <w:lang w:val="es-ES" w:eastAsia="es-ES"/>
        </w:rPr>
        <w:t>s</w:t>
      </w:r>
      <w:r w:rsidR="00882ED0" w:rsidRPr="00B74AA3">
        <w:rPr>
          <w:rFonts w:ascii="Tahoma" w:eastAsia="Times New Roman" w:hAnsi="Tahoma" w:cs="Tahoma"/>
          <w:sz w:val="18"/>
          <w:szCs w:val="18"/>
          <w:lang w:val="es-ES" w:eastAsia="es-ES"/>
        </w:rPr>
        <w:t xml:space="preserve"> </w:t>
      </w:r>
      <w:r w:rsidR="003F7A41">
        <w:rPr>
          <w:rFonts w:ascii="Tahoma" w:eastAsia="Times New Roman" w:hAnsi="Tahoma" w:cs="Tahoma"/>
          <w:sz w:val="18"/>
          <w:szCs w:val="18"/>
          <w:lang w:val="es-ES" w:eastAsia="es-ES"/>
        </w:rPr>
        <w:t>veinte</w:t>
      </w:r>
      <w:r w:rsidR="00CB5A61">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pesos </w:t>
      </w:r>
      <w:r w:rsidR="00A11B38">
        <w:rPr>
          <w:rFonts w:ascii="Tahoma" w:eastAsia="Times New Roman" w:hAnsi="Tahoma" w:cs="Tahoma"/>
          <w:sz w:val="18"/>
          <w:szCs w:val="18"/>
          <w:lang w:val="es-ES" w:eastAsia="es-ES"/>
        </w:rPr>
        <w:t>4</w:t>
      </w:r>
      <w:r w:rsidR="003F7A41">
        <w:rPr>
          <w:rFonts w:ascii="Tahoma" w:eastAsia="Times New Roman" w:hAnsi="Tahoma" w:cs="Tahoma"/>
          <w:sz w:val="18"/>
          <w:szCs w:val="18"/>
          <w:lang w:val="es-ES" w:eastAsia="es-ES"/>
        </w:rPr>
        <w:t>3</w:t>
      </w:r>
      <w:r w:rsidR="00882ED0"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3F7A41"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122" type="#_x0000_t75" style="width:407.7pt;height:488.1pt" o:ole="">
            <v:imagedata r:id="rId14" o:title=""/>
          </v:shape>
          <o:OLEObject Type="Embed" ProgID="Excel.Sheet.12" ShapeID="_x0000_i1122" DrawAspect="Content" ObjectID="_1752917427" r:id="rId15"/>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E44004">
        <w:rPr>
          <w:rFonts w:ascii="Tahoma" w:eastAsia="Times New Roman" w:hAnsi="Tahoma" w:cs="Tahoma"/>
          <w:sz w:val="18"/>
          <w:szCs w:val="18"/>
          <w:lang w:val="es-ES" w:eastAsia="es-ES"/>
        </w:rPr>
        <w:t>Julio</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A44E6F">
        <w:rPr>
          <w:rFonts w:ascii="Tahoma" w:eastAsia="Times New Roman" w:hAnsi="Tahoma" w:cs="Tahoma"/>
          <w:b/>
          <w:sz w:val="18"/>
          <w:szCs w:val="18"/>
          <w:lang w:val="es-ES" w:eastAsia="es-ES"/>
        </w:rPr>
        <w:t>305,730,978.71</w:t>
      </w:r>
      <w:r w:rsidR="00B675CC" w:rsidRPr="00B74AA3">
        <w:rPr>
          <w:rFonts w:ascii="Tahoma" w:eastAsia="Times New Roman" w:hAnsi="Tahoma" w:cs="Tahoma"/>
          <w:b/>
          <w:sz w:val="18"/>
          <w:szCs w:val="18"/>
          <w:lang w:val="es-ES" w:eastAsia="es-ES"/>
        </w:rPr>
        <w:t xml:space="preserve"> </w:t>
      </w:r>
      <w:r w:rsidR="00A44E6F">
        <w:rPr>
          <w:rFonts w:ascii="Tahoma" w:eastAsia="Times New Roman" w:hAnsi="Tahoma" w:cs="Tahoma"/>
          <w:sz w:val="18"/>
          <w:szCs w:val="18"/>
          <w:lang w:val="es-ES" w:eastAsia="es-ES"/>
        </w:rPr>
        <w:t>Trescientos</w:t>
      </w:r>
      <w:r w:rsidR="00A4208B">
        <w:rPr>
          <w:rFonts w:ascii="Tahoma" w:eastAsia="Times New Roman" w:hAnsi="Tahoma" w:cs="Tahoma"/>
          <w:sz w:val="18"/>
          <w:szCs w:val="18"/>
          <w:lang w:val="es-ES" w:eastAsia="es-ES"/>
        </w:rPr>
        <w:t xml:space="preserve"> </w:t>
      </w:r>
      <w:r w:rsidR="00A44E6F">
        <w:rPr>
          <w:rFonts w:ascii="Tahoma" w:eastAsia="Times New Roman" w:hAnsi="Tahoma" w:cs="Tahoma"/>
          <w:sz w:val="18"/>
          <w:szCs w:val="18"/>
          <w:lang w:val="es-ES" w:eastAsia="es-ES"/>
        </w:rPr>
        <w:t>cinco</w:t>
      </w:r>
      <w:r w:rsidR="00B675CC" w:rsidRPr="00B74AA3">
        <w:rPr>
          <w:rFonts w:ascii="Tahoma" w:eastAsia="Times New Roman" w:hAnsi="Tahoma" w:cs="Tahoma"/>
          <w:sz w:val="18"/>
          <w:szCs w:val="18"/>
          <w:lang w:val="es-ES" w:eastAsia="es-ES"/>
        </w:rPr>
        <w:t xml:space="preserve"> millones </w:t>
      </w:r>
      <w:r w:rsidR="00CA5E81">
        <w:rPr>
          <w:rFonts w:ascii="Tahoma" w:eastAsia="Times New Roman" w:hAnsi="Tahoma" w:cs="Tahoma"/>
          <w:sz w:val="18"/>
          <w:szCs w:val="18"/>
          <w:lang w:val="es-ES" w:eastAsia="es-ES"/>
        </w:rPr>
        <w:t>se</w:t>
      </w:r>
      <w:r w:rsidR="00A44E6F">
        <w:rPr>
          <w:rFonts w:ascii="Tahoma" w:eastAsia="Times New Roman" w:hAnsi="Tahoma" w:cs="Tahoma"/>
          <w:sz w:val="18"/>
          <w:szCs w:val="18"/>
          <w:lang w:val="es-ES" w:eastAsia="es-ES"/>
        </w:rPr>
        <w:t>te</w:t>
      </w:r>
      <w:r w:rsidR="00CA5E81">
        <w:rPr>
          <w:rFonts w:ascii="Tahoma" w:eastAsia="Times New Roman" w:hAnsi="Tahoma" w:cs="Tahoma"/>
          <w:sz w:val="18"/>
          <w:szCs w:val="18"/>
          <w:lang w:val="es-ES" w:eastAsia="es-ES"/>
        </w:rPr>
        <w:t xml:space="preserve">cientos </w:t>
      </w:r>
      <w:r w:rsidR="00A44E6F">
        <w:rPr>
          <w:rFonts w:ascii="Tahoma" w:eastAsia="Times New Roman" w:hAnsi="Tahoma" w:cs="Tahoma"/>
          <w:sz w:val="18"/>
          <w:szCs w:val="18"/>
          <w:lang w:val="es-ES" w:eastAsia="es-ES"/>
        </w:rPr>
        <w:t>treinta</w:t>
      </w:r>
      <w:r w:rsidR="00A4208B">
        <w:rPr>
          <w:rFonts w:ascii="Tahoma" w:eastAsia="Times New Roman" w:hAnsi="Tahoma" w:cs="Tahoma"/>
          <w:sz w:val="18"/>
          <w:szCs w:val="18"/>
          <w:lang w:val="es-ES" w:eastAsia="es-ES"/>
        </w:rPr>
        <w:t xml:space="preserve"> m</w:t>
      </w:r>
      <w:r w:rsidR="00B675CC" w:rsidRPr="00B74AA3">
        <w:rPr>
          <w:rFonts w:ascii="Tahoma" w:eastAsia="Times New Roman" w:hAnsi="Tahoma" w:cs="Tahoma"/>
          <w:sz w:val="18"/>
          <w:szCs w:val="18"/>
          <w:lang w:val="es-ES" w:eastAsia="es-ES"/>
        </w:rPr>
        <w:t xml:space="preserve">il </w:t>
      </w:r>
      <w:r w:rsidR="00314941">
        <w:rPr>
          <w:rFonts w:ascii="Tahoma" w:eastAsia="Times New Roman" w:hAnsi="Tahoma" w:cs="Tahoma"/>
          <w:sz w:val="18"/>
          <w:szCs w:val="18"/>
          <w:lang w:val="es-ES" w:eastAsia="es-ES"/>
        </w:rPr>
        <w:t>nove</w:t>
      </w:r>
      <w:r w:rsidR="00CA5E81">
        <w:rPr>
          <w:rFonts w:ascii="Tahoma" w:eastAsia="Times New Roman" w:hAnsi="Tahoma" w:cs="Tahoma"/>
          <w:sz w:val="18"/>
          <w:szCs w:val="18"/>
          <w:lang w:val="es-ES" w:eastAsia="es-ES"/>
        </w:rPr>
        <w:t>ciento</w:t>
      </w:r>
      <w:r w:rsidR="00314941">
        <w:rPr>
          <w:rFonts w:ascii="Tahoma" w:eastAsia="Times New Roman" w:hAnsi="Tahoma" w:cs="Tahoma"/>
          <w:sz w:val="18"/>
          <w:szCs w:val="18"/>
          <w:lang w:val="es-ES" w:eastAsia="es-ES"/>
        </w:rPr>
        <w:t>s</w:t>
      </w:r>
      <w:r w:rsidR="00CA5E81">
        <w:rPr>
          <w:rFonts w:ascii="Tahoma" w:eastAsia="Times New Roman" w:hAnsi="Tahoma" w:cs="Tahoma"/>
          <w:sz w:val="18"/>
          <w:szCs w:val="18"/>
          <w:lang w:val="es-ES" w:eastAsia="es-ES"/>
        </w:rPr>
        <w:t xml:space="preserve"> </w:t>
      </w:r>
      <w:r w:rsidR="00A44E6F">
        <w:rPr>
          <w:rFonts w:ascii="Tahoma" w:eastAsia="Times New Roman" w:hAnsi="Tahoma" w:cs="Tahoma"/>
          <w:sz w:val="18"/>
          <w:szCs w:val="18"/>
          <w:lang w:val="es-ES" w:eastAsia="es-ES"/>
        </w:rPr>
        <w:t>setenta</w:t>
      </w:r>
      <w:r w:rsidR="00CA5E81">
        <w:rPr>
          <w:rFonts w:ascii="Tahoma" w:eastAsia="Times New Roman" w:hAnsi="Tahoma" w:cs="Tahoma"/>
          <w:sz w:val="18"/>
          <w:szCs w:val="18"/>
          <w:lang w:val="es-ES" w:eastAsia="es-ES"/>
        </w:rPr>
        <w:t xml:space="preserve"> y </w:t>
      </w:r>
      <w:r w:rsidR="00A44E6F">
        <w:rPr>
          <w:rFonts w:ascii="Tahoma" w:eastAsia="Times New Roman" w:hAnsi="Tahoma" w:cs="Tahoma"/>
          <w:sz w:val="18"/>
          <w:szCs w:val="18"/>
          <w:lang w:val="es-ES" w:eastAsia="es-ES"/>
        </w:rPr>
        <w:t>ocho</w:t>
      </w:r>
      <w:r w:rsidR="00B675CC" w:rsidRPr="00B74AA3">
        <w:rPr>
          <w:rFonts w:ascii="Tahoma" w:eastAsia="Times New Roman" w:hAnsi="Tahoma" w:cs="Tahoma"/>
          <w:sz w:val="18"/>
          <w:szCs w:val="18"/>
          <w:lang w:val="es-ES" w:eastAsia="es-ES"/>
        </w:rPr>
        <w:t xml:space="preserve"> pesos </w:t>
      </w:r>
      <w:r w:rsidR="00A44E6F">
        <w:rPr>
          <w:rFonts w:ascii="Tahoma" w:eastAsia="Times New Roman" w:hAnsi="Tahoma" w:cs="Tahoma"/>
          <w:sz w:val="18"/>
          <w:szCs w:val="18"/>
          <w:lang w:val="es-ES" w:eastAsia="es-ES"/>
        </w:rPr>
        <w:t>71</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3" w:name="_MON_1747550594"/>
    <w:bookmarkEnd w:id="3"/>
    <w:p w:rsidR="00113C5A" w:rsidRPr="00B74AA3" w:rsidRDefault="00A44E6F"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48" w:dyaOrig="5263">
          <v:shape id="_x0000_i1137" type="#_x0000_t75" style="width:346.9pt;height:262.75pt" o:ole="">
            <v:imagedata r:id="rId16" o:title=""/>
          </v:shape>
          <o:OLEObject Type="Embed" ProgID="Excel.Sheet.12" ShapeID="_x0000_i1137" DrawAspect="Content" ObjectID="_1752917428" r:id="rId17"/>
        </w:object>
      </w:r>
    </w:p>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sidRPr="00B74AA3">
        <w:rPr>
          <w:rFonts w:ascii="Tahoma" w:eastAsia="Times New Roman" w:hAnsi="Tahoma" w:cs="Tahoma"/>
          <w:sz w:val="18"/>
          <w:szCs w:val="18"/>
          <w:lang w:val="es-ES" w:eastAsia="es-ES"/>
        </w:rPr>
        <w:t xml:space="preserve">de la cuenta pública mensual de </w:t>
      </w:r>
      <w:r w:rsidR="00E44004">
        <w:rPr>
          <w:rFonts w:ascii="Tahoma" w:eastAsia="Times New Roman" w:hAnsi="Tahoma" w:cs="Tahoma"/>
          <w:sz w:val="18"/>
          <w:szCs w:val="18"/>
          <w:lang w:val="es-ES" w:eastAsia="es-ES"/>
        </w:rPr>
        <w:t>Julio</w:t>
      </w:r>
      <w:r w:rsidR="00694E97" w:rsidRPr="00B74AA3">
        <w:rPr>
          <w:rFonts w:ascii="Tahoma" w:eastAsia="Times New Roman" w:hAnsi="Tahoma" w:cs="Tahoma"/>
          <w:sz w:val="18"/>
          <w:szCs w:val="18"/>
          <w:lang w:val="es-ES" w:eastAsia="es-ES"/>
        </w:rPr>
        <w:t xml:space="preserve"> de</w:t>
      </w:r>
      <w:r w:rsidR="00B36F86" w:rsidRPr="00B74AA3">
        <w:rPr>
          <w:rFonts w:ascii="Tahoma" w:eastAsia="Times New Roman" w:hAnsi="Tahoma" w:cs="Tahoma"/>
          <w:sz w:val="18"/>
          <w:szCs w:val="18"/>
          <w:lang w:val="es-ES" w:eastAsia="es-ES"/>
        </w:rPr>
        <w:t xml:space="preserve"> </w:t>
      </w:r>
      <w:r w:rsidR="0058133D" w:rsidRPr="00B74AA3">
        <w:rPr>
          <w:rFonts w:ascii="Tahoma" w:eastAsia="Times New Roman" w:hAnsi="Tahoma" w:cs="Tahoma"/>
          <w:sz w:val="18"/>
          <w:szCs w:val="18"/>
          <w:lang w:val="es-ES" w:eastAsia="es-ES"/>
        </w:rPr>
        <w:t xml:space="preserve"> </w:t>
      </w:r>
      <w:r w:rsidR="00694E97"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asciende a la cantidad de </w:t>
      </w:r>
      <w:r w:rsidRPr="00B74AA3">
        <w:rPr>
          <w:rFonts w:ascii="Tahoma" w:eastAsia="Times New Roman" w:hAnsi="Tahoma" w:cs="Tahoma"/>
          <w:b/>
          <w:sz w:val="18"/>
          <w:szCs w:val="18"/>
          <w:lang w:val="es-ES" w:eastAsia="es-ES"/>
        </w:rPr>
        <w:t xml:space="preserve">$ </w:t>
      </w:r>
      <w:r w:rsidR="00E701FD">
        <w:rPr>
          <w:rFonts w:ascii="Tahoma" w:eastAsia="Times New Roman" w:hAnsi="Tahoma" w:cs="Tahoma"/>
          <w:b/>
          <w:sz w:val="18"/>
          <w:szCs w:val="18"/>
          <w:lang w:val="es-ES" w:eastAsia="es-ES"/>
        </w:rPr>
        <w:t>2</w:t>
      </w:r>
      <w:r w:rsidR="00AB5DF4">
        <w:rPr>
          <w:rFonts w:ascii="Tahoma" w:eastAsia="Times New Roman" w:hAnsi="Tahoma" w:cs="Tahoma"/>
          <w:b/>
          <w:sz w:val="18"/>
          <w:szCs w:val="18"/>
          <w:lang w:val="es-ES" w:eastAsia="es-ES"/>
        </w:rPr>
        <w:t>59</w:t>
      </w:r>
      <w:r w:rsidR="00140E13">
        <w:rPr>
          <w:rFonts w:ascii="Tahoma" w:eastAsia="Times New Roman" w:hAnsi="Tahoma" w:cs="Tahoma"/>
          <w:b/>
          <w:sz w:val="18"/>
          <w:szCs w:val="18"/>
          <w:lang w:val="es-ES" w:eastAsia="es-ES"/>
        </w:rPr>
        <w:t>,</w:t>
      </w:r>
      <w:r w:rsidR="00AB5DF4">
        <w:rPr>
          <w:rFonts w:ascii="Tahoma" w:eastAsia="Times New Roman" w:hAnsi="Tahoma" w:cs="Tahoma"/>
          <w:b/>
          <w:sz w:val="18"/>
          <w:szCs w:val="18"/>
          <w:lang w:val="es-ES" w:eastAsia="es-ES"/>
        </w:rPr>
        <w:t>07</w:t>
      </w:r>
      <w:r w:rsidR="00E701FD">
        <w:rPr>
          <w:rFonts w:ascii="Tahoma" w:eastAsia="Times New Roman" w:hAnsi="Tahoma" w:cs="Tahoma"/>
          <w:b/>
          <w:sz w:val="18"/>
          <w:szCs w:val="18"/>
          <w:lang w:val="es-ES" w:eastAsia="es-ES"/>
        </w:rPr>
        <w:t>5</w:t>
      </w:r>
      <w:r w:rsidR="00E34CF8">
        <w:rPr>
          <w:rFonts w:ascii="Tahoma" w:eastAsia="Times New Roman" w:hAnsi="Tahoma" w:cs="Tahoma"/>
          <w:b/>
          <w:sz w:val="18"/>
          <w:szCs w:val="18"/>
          <w:lang w:val="es-ES" w:eastAsia="es-ES"/>
        </w:rPr>
        <w:t>,</w:t>
      </w:r>
      <w:r w:rsidR="00E701FD">
        <w:rPr>
          <w:rFonts w:ascii="Tahoma" w:eastAsia="Times New Roman" w:hAnsi="Tahoma" w:cs="Tahoma"/>
          <w:b/>
          <w:sz w:val="18"/>
          <w:szCs w:val="18"/>
          <w:lang w:val="es-ES" w:eastAsia="es-ES"/>
        </w:rPr>
        <w:t>0</w:t>
      </w:r>
      <w:r w:rsidR="00AB5DF4">
        <w:rPr>
          <w:rFonts w:ascii="Tahoma" w:eastAsia="Times New Roman" w:hAnsi="Tahoma" w:cs="Tahoma"/>
          <w:b/>
          <w:sz w:val="18"/>
          <w:szCs w:val="18"/>
          <w:lang w:val="es-ES" w:eastAsia="es-ES"/>
        </w:rPr>
        <w:t>74</w:t>
      </w:r>
      <w:r w:rsidR="00140E13">
        <w:rPr>
          <w:rFonts w:ascii="Tahoma" w:eastAsia="Times New Roman" w:hAnsi="Tahoma" w:cs="Tahoma"/>
          <w:b/>
          <w:sz w:val="18"/>
          <w:szCs w:val="18"/>
          <w:lang w:val="es-ES" w:eastAsia="es-ES"/>
        </w:rPr>
        <w:t>.</w:t>
      </w:r>
      <w:r w:rsidR="00AB5DF4">
        <w:rPr>
          <w:rFonts w:ascii="Tahoma" w:eastAsia="Times New Roman" w:hAnsi="Tahoma" w:cs="Tahoma"/>
          <w:b/>
          <w:sz w:val="18"/>
          <w:szCs w:val="18"/>
          <w:lang w:val="es-ES" w:eastAsia="es-ES"/>
        </w:rPr>
        <w:t>50</w:t>
      </w:r>
      <w:r w:rsidR="004E1D99"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w:t>
      </w:r>
      <w:r w:rsidR="00E701FD">
        <w:rPr>
          <w:rFonts w:ascii="Tahoma" w:eastAsia="Times New Roman" w:hAnsi="Tahoma" w:cs="Tahoma"/>
          <w:sz w:val="18"/>
          <w:szCs w:val="18"/>
          <w:lang w:val="es-ES" w:eastAsia="es-ES"/>
        </w:rPr>
        <w:t xml:space="preserve">doscientos </w:t>
      </w:r>
      <w:r w:rsidR="00AB5DF4">
        <w:rPr>
          <w:rFonts w:ascii="Tahoma" w:eastAsia="Times New Roman" w:hAnsi="Tahoma" w:cs="Tahoma"/>
          <w:sz w:val="18"/>
          <w:szCs w:val="18"/>
          <w:lang w:val="es-ES" w:eastAsia="es-ES"/>
        </w:rPr>
        <w:t>cincuenta y nueve</w:t>
      </w:r>
      <w:r w:rsidR="00333642">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millones </w:t>
      </w:r>
      <w:r w:rsidR="00AB5DF4">
        <w:rPr>
          <w:rFonts w:ascii="Tahoma" w:eastAsia="Times New Roman" w:hAnsi="Tahoma" w:cs="Tahoma"/>
          <w:sz w:val="18"/>
          <w:szCs w:val="18"/>
          <w:lang w:val="es-ES" w:eastAsia="es-ES"/>
        </w:rPr>
        <w:t>setenta y c</w:t>
      </w:r>
      <w:r w:rsidR="00E701FD">
        <w:rPr>
          <w:rFonts w:ascii="Tahoma" w:eastAsia="Times New Roman" w:hAnsi="Tahoma" w:cs="Tahoma"/>
          <w:sz w:val="18"/>
          <w:szCs w:val="18"/>
          <w:lang w:val="es-ES" w:eastAsia="es-ES"/>
        </w:rPr>
        <w:t>inco</w:t>
      </w:r>
      <w:r w:rsidR="00E34CF8">
        <w:rPr>
          <w:rFonts w:ascii="Tahoma" w:eastAsia="Times New Roman" w:hAnsi="Tahoma" w:cs="Tahoma"/>
          <w:sz w:val="18"/>
          <w:szCs w:val="18"/>
          <w:lang w:val="es-ES" w:eastAsia="es-ES"/>
        </w:rPr>
        <w:t xml:space="preserve"> </w:t>
      </w:r>
      <w:r w:rsidR="00A93511" w:rsidRPr="00B74AA3">
        <w:rPr>
          <w:rFonts w:ascii="Tahoma" w:eastAsia="Times New Roman" w:hAnsi="Tahoma" w:cs="Tahoma"/>
          <w:sz w:val="18"/>
          <w:szCs w:val="18"/>
          <w:lang w:val="es-ES" w:eastAsia="es-ES"/>
        </w:rPr>
        <w:t>mil</w:t>
      </w:r>
      <w:r w:rsidR="008D58A8" w:rsidRPr="00B74AA3">
        <w:rPr>
          <w:rFonts w:ascii="Tahoma" w:eastAsia="Times New Roman" w:hAnsi="Tahoma" w:cs="Tahoma"/>
          <w:sz w:val="18"/>
          <w:szCs w:val="18"/>
          <w:lang w:val="es-ES" w:eastAsia="es-ES"/>
        </w:rPr>
        <w:t xml:space="preserve"> </w:t>
      </w:r>
      <w:r w:rsidR="00AB5DF4">
        <w:rPr>
          <w:rFonts w:ascii="Tahoma" w:eastAsia="Times New Roman" w:hAnsi="Tahoma" w:cs="Tahoma"/>
          <w:sz w:val="18"/>
          <w:szCs w:val="18"/>
          <w:lang w:val="es-ES" w:eastAsia="es-ES"/>
        </w:rPr>
        <w:t>setenta y cuatro</w:t>
      </w:r>
      <w:r w:rsidR="00140E13">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pesos </w:t>
      </w:r>
      <w:r w:rsidR="00AB5DF4">
        <w:rPr>
          <w:rFonts w:ascii="Tahoma" w:eastAsia="Times New Roman" w:hAnsi="Tahoma" w:cs="Tahoma"/>
          <w:sz w:val="18"/>
          <w:szCs w:val="18"/>
          <w:lang w:val="es-ES" w:eastAsia="es-ES"/>
        </w:rPr>
        <w:t>50</w:t>
      </w:r>
      <w:r w:rsidR="00961241" w:rsidRPr="00B74AA3">
        <w:rPr>
          <w:rFonts w:ascii="Tahoma" w:eastAsia="Times New Roman" w:hAnsi="Tahoma" w:cs="Tahoma"/>
          <w:sz w:val="18"/>
          <w:szCs w:val="18"/>
          <w:lang w:val="es-ES" w:eastAsia="es-ES"/>
        </w:rPr>
        <w:t>/100</w:t>
      </w:r>
      <w:r w:rsidR="00BB6803" w:rsidRPr="00B74AA3">
        <w:rPr>
          <w:rFonts w:ascii="Tahoma" w:eastAsia="Times New Roman" w:hAnsi="Tahoma" w:cs="Tahoma"/>
          <w:sz w:val="18"/>
          <w:szCs w:val="18"/>
          <w:lang w:val="es-ES" w:eastAsia="es-ES"/>
        </w:rPr>
        <w:t xml:space="preserve"> m.n.)</w:t>
      </w:r>
    </w:p>
    <w:p w:rsidR="00E47853" w:rsidRPr="00B74AA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A44E6F"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145,966,375.78</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A44E6F"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11,930,442.14</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A44E6F" w:rsidP="00A44E6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42,595,962.86</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A44E6F"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16,001,666.62</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A44E6F" w:rsidP="007843A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677,936.00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333642"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A44E6F">
              <w:rPr>
                <w:rFonts w:ascii="Tahoma" w:eastAsia="Times New Roman" w:hAnsi="Tahoma" w:cs="Tahoma"/>
                <w:sz w:val="18"/>
                <w:szCs w:val="18"/>
                <w:lang w:val="es-ES" w:eastAsia="es-ES"/>
              </w:rPr>
              <w:t>965,746.31</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A44E6F"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35,735,946.48</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B74AA3" w:rsidRDefault="00AB5DF4"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215,437.00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AB5DF4" w:rsidP="00E34CF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3,985,561.31</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9C183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bl>
    <w:p w:rsidR="00AB5DF4" w:rsidRDefault="00AB5DF4" w:rsidP="00AB5DF4">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E44004">
        <w:rPr>
          <w:rFonts w:ascii="Tahoma" w:hAnsi="Tahoma" w:cs="Tahoma"/>
          <w:spacing w:val="-1"/>
          <w:sz w:val="18"/>
          <w:szCs w:val="18"/>
          <w:lang w:val="es-ES" w:eastAsia="es-ES"/>
        </w:rPr>
        <w:t>Julio</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CD2883" w:rsidP="00E95F18">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181,603.88</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66641A" w:rsidP="00CD2883">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544,</w:t>
            </w:r>
            <w:r w:rsidR="00CD2883">
              <w:rPr>
                <w:rFonts w:ascii="Tahoma" w:hAnsi="Tahoma" w:cs="Tahoma"/>
                <w:b/>
                <w:spacing w:val="-1"/>
                <w:sz w:val="18"/>
                <w:szCs w:val="18"/>
                <w:lang w:val="es-ES" w:eastAsia="es-ES"/>
              </w:rPr>
              <w:t>786</w:t>
            </w:r>
            <w:r>
              <w:rPr>
                <w:rFonts w:ascii="Tahoma" w:hAnsi="Tahoma" w:cs="Tahoma"/>
                <w:b/>
                <w:spacing w:val="-1"/>
                <w:sz w:val="18"/>
                <w:szCs w:val="18"/>
                <w:lang w:val="es-ES" w:eastAsia="es-ES"/>
              </w:rPr>
              <w:t>,</w:t>
            </w:r>
            <w:r w:rsidR="00CD2883">
              <w:rPr>
                <w:rFonts w:ascii="Tahoma" w:hAnsi="Tahoma" w:cs="Tahoma"/>
                <w:b/>
                <w:spacing w:val="-1"/>
                <w:sz w:val="18"/>
                <w:szCs w:val="18"/>
                <w:lang w:val="es-ES" w:eastAsia="es-ES"/>
              </w:rPr>
              <w:t>742</w:t>
            </w:r>
            <w:r>
              <w:rPr>
                <w:rFonts w:ascii="Tahoma" w:hAnsi="Tahoma" w:cs="Tahoma"/>
                <w:b/>
                <w:spacing w:val="-1"/>
                <w:sz w:val="18"/>
                <w:szCs w:val="18"/>
                <w:lang w:val="es-ES" w:eastAsia="es-ES"/>
              </w:rPr>
              <w:t>.8</w:t>
            </w:r>
            <w:r w:rsidR="00CD2883">
              <w:rPr>
                <w:rFonts w:ascii="Tahoma" w:hAnsi="Tahoma" w:cs="Tahoma"/>
                <w:b/>
                <w:spacing w:val="-1"/>
                <w:sz w:val="18"/>
                <w:szCs w:val="18"/>
                <w:lang w:val="es-ES" w:eastAsia="es-ES"/>
              </w:rPr>
              <w:t>0</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7359DE" w:rsidP="00911D9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100,078,692.35</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664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805B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5B5A" w:rsidRPr="00B74AA3" w:rsidRDefault="00805B5A" w:rsidP="00805B5A">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05B5A" w:rsidRPr="00B74AA3" w:rsidRDefault="007359DE" w:rsidP="00805B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100,080,104.35</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lastRenderedPageBreak/>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E44004">
        <w:rPr>
          <w:rFonts w:ascii="Tahoma" w:eastAsia="Times New Roman" w:hAnsi="Tahoma" w:cs="Tahoma"/>
          <w:b/>
          <w:sz w:val="18"/>
          <w:szCs w:val="18"/>
          <w:lang w:val="es-ES" w:eastAsia="es-ES"/>
        </w:rPr>
        <w:t>Julio</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461E3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461E30" w:rsidRPr="00B74AA3" w:rsidRDefault="00461E30" w:rsidP="00461E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31,032,190.32</w:t>
            </w:r>
          </w:p>
        </w:tc>
        <w:tc>
          <w:tcPr>
            <w:tcW w:w="1972"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31,032,190.32</w:t>
            </w:r>
          </w:p>
        </w:tc>
      </w:tr>
      <w:tr w:rsidR="00461E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461E30" w:rsidRPr="00B74AA3" w:rsidRDefault="00461E30" w:rsidP="00461E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947,579.90</w:t>
            </w:r>
          </w:p>
        </w:tc>
        <w:tc>
          <w:tcPr>
            <w:tcW w:w="1972"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947,579.90</w:t>
            </w:r>
          </w:p>
        </w:tc>
      </w:tr>
      <w:tr w:rsidR="00461E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r>
      <w:tr w:rsidR="00461E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1E30" w:rsidRPr="00B74AA3" w:rsidRDefault="00461E30" w:rsidP="00461E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114,027.96</w:t>
            </w:r>
          </w:p>
        </w:tc>
        <w:tc>
          <w:tcPr>
            <w:tcW w:w="1972"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114,027.96</w:t>
            </w:r>
          </w:p>
        </w:tc>
      </w:tr>
      <w:tr w:rsidR="00461E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1E30" w:rsidRPr="00B74AA3" w:rsidRDefault="00461E30" w:rsidP="00461E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34,523.</w:t>
            </w:r>
            <w:r w:rsidRPr="00B74AA3">
              <w:rPr>
                <w:rFonts w:ascii="Tahoma" w:eastAsia="Times New Roman" w:hAnsi="Tahoma" w:cs="Tahoma"/>
                <w:bCs/>
                <w:color w:val="000000"/>
                <w:sz w:val="18"/>
                <w:szCs w:val="18"/>
                <w:lang w:val="es-ES" w:eastAsia="es-ES"/>
              </w:rPr>
              <w:t>00</w:t>
            </w:r>
          </w:p>
        </w:tc>
        <w:tc>
          <w:tcPr>
            <w:tcW w:w="1972"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34,523.</w:t>
            </w:r>
            <w:r w:rsidRPr="00B74AA3">
              <w:rPr>
                <w:rFonts w:ascii="Tahoma" w:eastAsia="Times New Roman" w:hAnsi="Tahoma" w:cs="Tahoma"/>
                <w:bCs/>
                <w:color w:val="000000"/>
                <w:sz w:val="18"/>
                <w:szCs w:val="18"/>
                <w:lang w:val="es-ES" w:eastAsia="es-ES"/>
              </w:rPr>
              <w:t>00</w:t>
            </w:r>
          </w:p>
        </w:tc>
      </w:tr>
      <w:tr w:rsidR="00461E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1E30" w:rsidRPr="00B74AA3" w:rsidRDefault="00461E30" w:rsidP="00461E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15,876.00</w:t>
            </w:r>
          </w:p>
        </w:tc>
        <w:tc>
          <w:tcPr>
            <w:tcW w:w="1972"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15,876.00</w:t>
            </w:r>
          </w:p>
        </w:tc>
      </w:tr>
      <w:tr w:rsidR="00461E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1E30" w:rsidRPr="00B74AA3" w:rsidRDefault="00461E30" w:rsidP="00461E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c>
          <w:tcPr>
            <w:tcW w:w="1972"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r>
      <w:tr w:rsidR="00461E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1E30" w:rsidRPr="00B74AA3" w:rsidRDefault="00461E30" w:rsidP="00461E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461E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1E30" w:rsidRPr="00B74AA3" w:rsidRDefault="00461E30" w:rsidP="00461E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212,611.21</w:t>
            </w:r>
          </w:p>
        </w:tc>
        <w:tc>
          <w:tcPr>
            <w:tcW w:w="1972" w:type="dxa"/>
            <w:tcBorders>
              <w:top w:val="single" w:sz="4" w:space="0" w:color="auto"/>
              <w:left w:val="single" w:sz="4" w:space="0" w:color="auto"/>
              <w:bottom w:val="single" w:sz="4" w:space="0" w:color="auto"/>
              <w:right w:val="single" w:sz="4" w:space="0" w:color="auto"/>
            </w:tcBorders>
            <w:vAlign w:val="center"/>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1E30" w:rsidRPr="00B74AA3" w:rsidRDefault="00461E30" w:rsidP="00461E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212,611.21</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lastRenderedPageBreak/>
        <w:t>Presupuestarias:</w:t>
      </w:r>
    </w:p>
    <w:p w:rsidR="009E0E72" w:rsidRPr="00B74AA3" w:rsidRDefault="009E0E72" w:rsidP="00113C5A">
      <w:pPr>
        <w:spacing w:before="80"/>
        <w:ind w:left="709"/>
        <w:jc w:val="both"/>
        <w:rPr>
          <w:rFonts w:ascii="Tahoma" w:hAnsi="Tahoma" w:cs="Tahoma"/>
          <w:spacing w:val="-1"/>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460214">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A577E4" w:rsidP="009541A6">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279,775,331.27</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A577E4"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404,252,299.14</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407D91"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347,286,717.96</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3E25D4">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Pr="00B74AA3" w:rsidRDefault="00407D91" w:rsidP="009541A6">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316,247,728.78</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Pr="00B74AA3" w:rsidRDefault="00407D91"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312,086,520.35</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Pr="00B74AA3" w:rsidRDefault="00407D91"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309,385,875.40</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Pr="00B74AA3" w:rsidRDefault="00A577E4"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A577E4">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E44004">
        <w:rPr>
          <w:rFonts w:ascii="Tahoma" w:hAnsi="Tahoma" w:cs="Tahoma"/>
          <w:spacing w:val="-1"/>
          <w:sz w:val="18"/>
          <w:szCs w:val="18"/>
          <w:lang w:val="es-ES" w:eastAsia="es-ES"/>
        </w:rPr>
        <w:t>Julio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E44004">
        <w:rPr>
          <w:rFonts w:ascii="Tahoma" w:hAnsi="Tahoma" w:cs="Tahoma"/>
          <w:spacing w:val="-1"/>
          <w:sz w:val="18"/>
          <w:szCs w:val="18"/>
          <w:lang w:val="es-ES" w:eastAsia="es-ES"/>
        </w:rPr>
        <w:t>Julio</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A577E4">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E44004">
        <w:rPr>
          <w:rFonts w:ascii="Tahoma" w:hAnsi="Tahoma" w:cs="Tahoma"/>
          <w:spacing w:val="-1"/>
          <w:sz w:val="18"/>
          <w:szCs w:val="18"/>
          <w:lang w:val="es-ES" w:eastAsia="es-ES"/>
        </w:rPr>
        <w:t>Julio</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bookmarkStart w:id="4" w:name="_GoBack"/>
      <w:bookmarkEnd w:id="4"/>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D78" w:rsidRDefault="00A65D78" w:rsidP="00AC6FB4">
      <w:pPr>
        <w:spacing w:after="0" w:line="240" w:lineRule="auto"/>
      </w:pPr>
      <w:r>
        <w:separator/>
      </w:r>
    </w:p>
  </w:endnote>
  <w:endnote w:type="continuationSeparator" w:id="0">
    <w:p w:rsidR="00A65D78" w:rsidRDefault="00A65D78"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D78" w:rsidRDefault="00A65D78" w:rsidP="00AC6FB4">
      <w:pPr>
        <w:spacing w:after="0" w:line="240" w:lineRule="auto"/>
      </w:pPr>
      <w:r>
        <w:separator/>
      </w:r>
    </w:p>
  </w:footnote>
  <w:footnote w:type="continuationSeparator" w:id="0">
    <w:p w:rsidR="00A65D78" w:rsidRDefault="00A65D78"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3F19"/>
    <w:rsid w:val="0000485C"/>
    <w:rsid w:val="0000509A"/>
    <w:rsid w:val="0000763F"/>
    <w:rsid w:val="0001384B"/>
    <w:rsid w:val="000138F2"/>
    <w:rsid w:val="00015E6F"/>
    <w:rsid w:val="00017096"/>
    <w:rsid w:val="00030BC1"/>
    <w:rsid w:val="00063ACF"/>
    <w:rsid w:val="000649D5"/>
    <w:rsid w:val="00066782"/>
    <w:rsid w:val="000758E9"/>
    <w:rsid w:val="00085AB5"/>
    <w:rsid w:val="00086A46"/>
    <w:rsid w:val="00093792"/>
    <w:rsid w:val="000A10DB"/>
    <w:rsid w:val="000C3514"/>
    <w:rsid w:val="000C7F8B"/>
    <w:rsid w:val="000D02EE"/>
    <w:rsid w:val="000E2138"/>
    <w:rsid w:val="000E674F"/>
    <w:rsid w:val="000E7211"/>
    <w:rsid w:val="000F0E13"/>
    <w:rsid w:val="000F1494"/>
    <w:rsid w:val="00105E74"/>
    <w:rsid w:val="00113C5A"/>
    <w:rsid w:val="001161F8"/>
    <w:rsid w:val="00124D01"/>
    <w:rsid w:val="00131483"/>
    <w:rsid w:val="00140549"/>
    <w:rsid w:val="00140E13"/>
    <w:rsid w:val="0015519C"/>
    <w:rsid w:val="001654AB"/>
    <w:rsid w:val="00171B2F"/>
    <w:rsid w:val="0017726B"/>
    <w:rsid w:val="001834B1"/>
    <w:rsid w:val="001939C8"/>
    <w:rsid w:val="001B1926"/>
    <w:rsid w:val="001B47E0"/>
    <w:rsid w:val="001C2934"/>
    <w:rsid w:val="001C3BBF"/>
    <w:rsid w:val="001D5946"/>
    <w:rsid w:val="001D759F"/>
    <w:rsid w:val="001F197F"/>
    <w:rsid w:val="001F3C85"/>
    <w:rsid w:val="00235418"/>
    <w:rsid w:val="002456FC"/>
    <w:rsid w:val="00271DA3"/>
    <w:rsid w:val="0028792F"/>
    <w:rsid w:val="0029116B"/>
    <w:rsid w:val="002A3EB0"/>
    <w:rsid w:val="002A5229"/>
    <w:rsid w:val="002A6935"/>
    <w:rsid w:val="002B5FDF"/>
    <w:rsid w:val="002D0616"/>
    <w:rsid w:val="002D26C3"/>
    <w:rsid w:val="002D3195"/>
    <w:rsid w:val="002E0B8F"/>
    <w:rsid w:val="002F3775"/>
    <w:rsid w:val="00304F58"/>
    <w:rsid w:val="00314941"/>
    <w:rsid w:val="003174AC"/>
    <w:rsid w:val="00324AEE"/>
    <w:rsid w:val="00324E64"/>
    <w:rsid w:val="00333642"/>
    <w:rsid w:val="003612BD"/>
    <w:rsid w:val="00361465"/>
    <w:rsid w:val="00362222"/>
    <w:rsid w:val="003648AE"/>
    <w:rsid w:val="00364A94"/>
    <w:rsid w:val="00377269"/>
    <w:rsid w:val="003A560F"/>
    <w:rsid w:val="003B6985"/>
    <w:rsid w:val="003C1162"/>
    <w:rsid w:val="003C569C"/>
    <w:rsid w:val="003C6963"/>
    <w:rsid w:val="003D40C4"/>
    <w:rsid w:val="003D7064"/>
    <w:rsid w:val="003E003D"/>
    <w:rsid w:val="003E0F75"/>
    <w:rsid w:val="003E1765"/>
    <w:rsid w:val="003E1840"/>
    <w:rsid w:val="003E25D4"/>
    <w:rsid w:val="003E3144"/>
    <w:rsid w:val="003E562E"/>
    <w:rsid w:val="003F7A41"/>
    <w:rsid w:val="0040556B"/>
    <w:rsid w:val="00407D91"/>
    <w:rsid w:val="004146D7"/>
    <w:rsid w:val="004273F3"/>
    <w:rsid w:val="00443431"/>
    <w:rsid w:val="00445D0C"/>
    <w:rsid w:val="00447F8A"/>
    <w:rsid w:val="00451FAB"/>
    <w:rsid w:val="004551F3"/>
    <w:rsid w:val="00460214"/>
    <w:rsid w:val="00461E30"/>
    <w:rsid w:val="00473C42"/>
    <w:rsid w:val="00475683"/>
    <w:rsid w:val="004827ED"/>
    <w:rsid w:val="00483C1A"/>
    <w:rsid w:val="004913F3"/>
    <w:rsid w:val="00495838"/>
    <w:rsid w:val="004B3F66"/>
    <w:rsid w:val="004B4FBA"/>
    <w:rsid w:val="004B7384"/>
    <w:rsid w:val="004C0496"/>
    <w:rsid w:val="004C33CC"/>
    <w:rsid w:val="004C3CAC"/>
    <w:rsid w:val="004C3CCE"/>
    <w:rsid w:val="004E1D99"/>
    <w:rsid w:val="004F28DD"/>
    <w:rsid w:val="004F6804"/>
    <w:rsid w:val="0050052E"/>
    <w:rsid w:val="00506599"/>
    <w:rsid w:val="0051062D"/>
    <w:rsid w:val="00522B0D"/>
    <w:rsid w:val="00522FD9"/>
    <w:rsid w:val="00523220"/>
    <w:rsid w:val="00527988"/>
    <w:rsid w:val="005317F5"/>
    <w:rsid w:val="00533C50"/>
    <w:rsid w:val="00536021"/>
    <w:rsid w:val="005523FE"/>
    <w:rsid w:val="00552C8D"/>
    <w:rsid w:val="0058133D"/>
    <w:rsid w:val="00582F98"/>
    <w:rsid w:val="00585E66"/>
    <w:rsid w:val="005910FA"/>
    <w:rsid w:val="00595E88"/>
    <w:rsid w:val="005A11CA"/>
    <w:rsid w:val="005B27A9"/>
    <w:rsid w:val="005C17DC"/>
    <w:rsid w:val="005C5D8B"/>
    <w:rsid w:val="005D1E82"/>
    <w:rsid w:val="005D7442"/>
    <w:rsid w:val="00603B40"/>
    <w:rsid w:val="00625FFB"/>
    <w:rsid w:val="00654357"/>
    <w:rsid w:val="006560BF"/>
    <w:rsid w:val="00664051"/>
    <w:rsid w:val="006649B1"/>
    <w:rsid w:val="0066641A"/>
    <w:rsid w:val="00666E34"/>
    <w:rsid w:val="00671901"/>
    <w:rsid w:val="00694172"/>
    <w:rsid w:val="00694E97"/>
    <w:rsid w:val="00694EFA"/>
    <w:rsid w:val="006B17C9"/>
    <w:rsid w:val="006C4442"/>
    <w:rsid w:val="006E49AD"/>
    <w:rsid w:val="00725B26"/>
    <w:rsid w:val="00727E70"/>
    <w:rsid w:val="007359DE"/>
    <w:rsid w:val="007544AA"/>
    <w:rsid w:val="00756356"/>
    <w:rsid w:val="00757E61"/>
    <w:rsid w:val="00762314"/>
    <w:rsid w:val="00777D51"/>
    <w:rsid w:val="007801F2"/>
    <w:rsid w:val="007825B6"/>
    <w:rsid w:val="007843AF"/>
    <w:rsid w:val="00785361"/>
    <w:rsid w:val="00785B7C"/>
    <w:rsid w:val="00787296"/>
    <w:rsid w:val="007C415F"/>
    <w:rsid w:val="007C73AB"/>
    <w:rsid w:val="007D2494"/>
    <w:rsid w:val="007D51A6"/>
    <w:rsid w:val="007D5B1B"/>
    <w:rsid w:val="007E35F8"/>
    <w:rsid w:val="007F04BC"/>
    <w:rsid w:val="007F1D8D"/>
    <w:rsid w:val="007F7BFC"/>
    <w:rsid w:val="008033A7"/>
    <w:rsid w:val="00804517"/>
    <w:rsid w:val="00805B5A"/>
    <w:rsid w:val="008163F9"/>
    <w:rsid w:val="008221CE"/>
    <w:rsid w:val="00823CF3"/>
    <w:rsid w:val="008251CB"/>
    <w:rsid w:val="00831C12"/>
    <w:rsid w:val="0083254B"/>
    <w:rsid w:val="008333DA"/>
    <w:rsid w:val="00845D7B"/>
    <w:rsid w:val="008465D9"/>
    <w:rsid w:val="00847F74"/>
    <w:rsid w:val="008552C1"/>
    <w:rsid w:val="008649FC"/>
    <w:rsid w:val="00871753"/>
    <w:rsid w:val="008745A5"/>
    <w:rsid w:val="00882ED0"/>
    <w:rsid w:val="008A1A4E"/>
    <w:rsid w:val="008A758E"/>
    <w:rsid w:val="008B0147"/>
    <w:rsid w:val="008B04A5"/>
    <w:rsid w:val="008B39EF"/>
    <w:rsid w:val="008B5C88"/>
    <w:rsid w:val="008C08DE"/>
    <w:rsid w:val="008C5A25"/>
    <w:rsid w:val="008D58A8"/>
    <w:rsid w:val="008F64EE"/>
    <w:rsid w:val="00911D9C"/>
    <w:rsid w:val="00920A11"/>
    <w:rsid w:val="00944123"/>
    <w:rsid w:val="009441C3"/>
    <w:rsid w:val="00945DC3"/>
    <w:rsid w:val="009541A6"/>
    <w:rsid w:val="009607F1"/>
    <w:rsid w:val="00960F00"/>
    <w:rsid w:val="00961241"/>
    <w:rsid w:val="00967E22"/>
    <w:rsid w:val="009766DC"/>
    <w:rsid w:val="00983B40"/>
    <w:rsid w:val="0099704F"/>
    <w:rsid w:val="009A03A8"/>
    <w:rsid w:val="009B17A9"/>
    <w:rsid w:val="009B7CDE"/>
    <w:rsid w:val="009C183B"/>
    <w:rsid w:val="009C39B1"/>
    <w:rsid w:val="009C7930"/>
    <w:rsid w:val="009D02B0"/>
    <w:rsid w:val="009D0BB9"/>
    <w:rsid w:val="009D2F2A"/>
    <w:rsid w:val="009E0E72"/>
    <w:rsid w:val="009E45A6"/>
    <w:rsid w:val="009E4AC6"/>
    <w:rsid w:val="009E6EE7"/>
    <w:rsid w:val="00A00DFD"/>
    <w:rsid w:val="00A11832"/>
    <w:rsid w:val="00A11B38"/>
    <w:rsid w:val="00A1282A"/>
    <w:rsid w:val="00A15436"/>
    <w:rsid w:val="00A20780"/>
    <w:rsid w:val="00A4208B"/>
    <w:rsid w:val="00A44C88"/>
    <w:rsid w:val="00A44E6F"/>
    <w:rsid w:val="00A468E9"/>
    <w:rsid w:val="00A47B5F"/>
    <w:rsid w:val="00A52ECA"/>
    <w:rsid w:val="00A562B5"/>
    <w:rsid w:val="00A577E4"/>
    <w:rsid w:val="00A65147"/>
    <w:rsid w:val="00A65D78"/>
    <w:rsid w:val="00A80978"/>
    <w:rsid w:val="00A90F52"/>
    <w:rsid w:val="00A93511"/>
    <w:rsid w:val="00A96EAE"/>
    <w:rsid w:val="00A9721D"/>
    <w:rsid w:val="00AA1EC8"/>
    <w:rsid w:val="00AA2528"/>
    <w:rsid w:val="00AB3206"/>
    <w:rsid w:val="00AB5DF4"/>
    <w:rsid w:val="00AC4FF3"/>
    <w:rsid w:val="00AC6FB4"/>
    <w:rsid w:val="00AD001E"/>
    <w:rsid w:val="00AF08B0"/>
    <w:rsid w:val="00B066E4"/>
    <w:rsid w:val="00B12CFE"/>
    <w:rsid w:val="00B172E6"/>
    <w:rsid w:val="00B2285D"/>
    <w:rsid w:val="00B26021"/>
    <w:rsid w:val="00B36F86"/>
    <w:rsid w:val="00B472CC"/>
    <w:rsid w:val="00B504A7"/>
    <w:rsid w:val="00B60E2C"/>
    <w:rsid w:val="00B61F0B"/>
    <w:rsid w:val="00B62304"/>
    <w:rsid w:val="00B62D77"/>
    <w:rsid w:val="00B675CC"/>
    <w:rsid w:val="00B70FB5"/>
    <w:rsid w:val="00B7223F"/>
    <w:rsid w:val="00B74AA3"/>
    <w:rsid w:val="00B904AB"/>
    <w:rsid w:val="00B96EE1"/>
    <w:rsid w:val="00B970EF"/>
    <w:rsid w:val="00BA6580"/>
    <w:rsid w:val="00BB6803"/>
    <w:rsid w:val="00BC2279"/>
    <w:rsid w:val="00BC783B"/>
    <w:rsid w:val="00BD13CA"/>
    <w:rsid w:val="00BF49C4"/>
    <w:rsid w:val="00C032B6"/>
    <w:rsid w:val="00C06403"/>
    <w:rsid w:val="00C14AE4"/>
    <w:rsid w:val="00C14C04"/>
    <w:rsid w:val="00C20F1D"/>
    <w:rsid w:val="00C27623"/>
    <w:rsid w:val="00C3196E"/>
    <w:rsid w:val="00C47082"/>
    <w:rsid w:val="00C51651"/>
    <w:rsid w:val="00C6057F"/>
    <w:rsid w:val="00C60918"/>
    <w:rsid w:val="00C60C40"/>
    <w:rsid w:val="00C85297"/>
    <w:rsid w:val="00C91E28"/>
    <w:rsid w:val="00C91FEF"/>
    <w:rsid w:val="00C977EE"/>
    <w:rsid w:val="00CA5E81"/>
    <w:rsid w:val="00CA650C"/>
    <w:rsid w:val="00CB57E9"/>
    <w:rsid w:val="00CB5A61"/>
    <w:rsid w:val="00CB7B57"/>
    <w:rsid w:val="00CC2894"/>
    <w:rsid w:val="00CC3DC2"/>
    <w:rsid w:val="00CC733F"/>
    <w:rsid w:val="00CD02EA"/>
    <w:rsid w:val="00CD094A"/>
    <w:rsid w:val="00CD2883"/>
    <w:rsid w:val="00CD3BEB"/>
    <w:rsid w:val="00CD40FA"/>
    <w:rsid w:val="00CE77ED"/>
    <w:rsid w:val="00D154BF"/>
    <w:rsid w:val="00D15868"/>
    <w:rsid w:val="00D2185A"/>
    <w:rsid w:val="00D3414F"/>
    <w:rsid w:val="00D34807"/>
    <w:rsid w:val="00D41525"/>
    <w:rsid w:val="00D42658"/>
    <w:rsid w:val="00D469DC"/>
    <w:rsid w:val="00D522AB"/>
    <w:rsid w:val="00D63C61"/>
    <w:rsid w:val="00D651E1"/>
    <w:rsid w:val="00D74EA6"/>
    <w:rsid w:val="00D75A37"/>
    <w:rsid w:val="00D84410"/>
    <w:rsid w:val="00D85DB5"/>
    <w:rsid w:val="00D9686A"/>
    <w:rsid w:val="00DB17F9"/>
    <w:rsid w:val="00DB60AD"/>
    <w:rsid w:val="00DD13B6"/>
    <w:rsid w:val="00DE0202"/>
    <w:rsid w:val="00DE0D14"/>
    <w:rsid w:val="00DF19AD"/>
    <w:rsid w:val="00DF40A6"/>
    <w:rsid w:val="00E021B5"/>
    <w:rsid w:val="00E03EAE"/>
    <w:rsid w:val="00E06F65"/>
    <w:rsid w:val="00E076F9"/>
    <w:rsid w:val="00E16545"/>
    <w:rsid w:val="00E241E9"/>
    <w:rsid w:val="00E33B69"/>
    <w:rsid w:val="00E34CF8"/>
    <w:rsid w:val="00E44004"/>
    <w:rsid w:val="00E47853"/>
    <w:rsid w:val="00E50D37"/>
    <w:rsid w:val="00E53598"/>
    <w:rsid w:val="00E555A9"/>
    <w:rsid w:val="00E67C67"/>
    <w:rsid w:val="00E701FD"/>
    <w:rsid w:val="00E7229D"/>
    <w:rsid w:val="00E7376C"/>
    <w:rsid w:val="00E819B5"/>
    <w:rsid w:val="00E8228B"/>
    <w:rsid w:val="00E822D1"/>
    <w:rsid w:val="00E906CA"/>
    <w:rsid w:val="00E91BDB"/>
    <w:rsid w:val="00E93EF9"/>
    <w:rsid w:val="00E95F18"/>
    <w:rsid w:val="00EB218B"/>
    <w:rsid w:val="00EC310E"/>
    <w:rsid w:val="00ED0123"/>
    <w:rsid w:val="00ED5270"/>
    <w:rsid w:val="00ED70B0"/>
    <w:rsid w:val="00EE41E6"/>
    <w:rsid w:val="00EF1368"/>
    <w:rsid w:val="00EF5F3D"/>
    <w:rsid w:val="00F005C3"/>
    <w:rsid w:val="00F327F8"/>
    <w:rsid w:val="00F45F43"/>
    <w:rsid w:val="00F60D0E"/>
    <w:rsid w:val="00F648D7"/>
    <w:rsid w:val="00F64FB3"/>
    <w:rsid w:val="00F70C06"/>
    <w:rsid w:val="00F710C3"/>
    <w:rsid w:val="00F812FD"/>
    <w:rsid w:val="00F82114"/>
    <w:rsid w:val="00F8528D"/>
    <w:rsid w:val="00F97479"/>
    <w:rsid w:val="00FA5E5C"/>
    <w:rsid w:val="00FB06B2"/>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0E9523"/>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04C0-7882-4D63-9EA3-7649F011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13</Pages>
  <Words>3698</Words>
  <Characters>20341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Lizbeth Mojica</cp:lastModifiedBy>
  <cp:revision>76</cp:revision>
  <cp:lastPrinted>2023-01-18T20:16:00Z</cp:lastPrinted>
  <dcterms:created xsi:type="dcterms:W3CDTF">2023-02-14T16:02:00Z</dcterms:created>
  <dcterms:modified xsi:type="dcterms:W3CDTF">2023-08-07T18:43:00Z</dcterms:modified>
</cp:coreProperties>
</file>